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Regulating Children’s Access to Social Media: Written Materials for CLE Participants</w:t>
      </w:r>
    </w:p>
    <w:p>
      <w:pPr>
        <w:pStyle w:val="Heading1"/>
      </w:pPr>
      <w:r>
        <w:t>Background</w:t>
      </w:r>
    </w:p>
    <w:p>
      <w:r>
        <w:t>Social‑media use among U.S. minors is nearly universal. Surveys show that more than 95 % of teenagers age 13‑17 maintain at least one account, and over one‑third report being online “almost constantly.” A rising body of research links heavy social‑media exposure to heightened risks of anxiety, depression, cyber‑bullying, sextortion, and self‑harm. Legislators have responded with a patchwork of state laws that pursue three broad objectives: (1) preventing very young children from opening accounts, (2) empowering parents to gate‑keep adolescent use, and (3) imposing design‑based duties on platforms to reduce addictive or harmful features. Professors Leah Plunkett (Harvard Law School) and Naomi Cahn (University of Virginia School of Law) examine these developments—and the constitutional tensions they raise—in the accompanying TalksOnLaw interview. citeturn1file0</w:t>
      </w:r>
    </w:p>
    <w:p>
      <w:pPr>
        <w:pStyle w:val="Heading1"/>
      </w:pPr>
      <w:r>
        <w:t>Key State Approaches (2023‑25)</w:t>
      </w:r>
    </w:p>
    <w:p>
      <w:pPr>
        <w:pStyle w:val="Heading2"/>
      </w:pPr>
      <w:r>
        <w:t>1. Complete or Conditional Account Bans</w:t>
      </w:r>
    </w:p>
    <w:p>
      <w:r>
        <w:t>• Florida H.B. 3 (2024) – Prohibits accounts for users under 14 and requires verified parental consent for 14‑ and 15‑year‑olds. Violations create a private right of action and mandate deletion of existing under‑age accounts.</w:t>
      </w:r>
    </w:p>
    <w:p>
      <w:r>
        <w:t>• Utah S.B. 152 (2023) – Similar framework; additionally requires platform‑level age verification and parental dashboards.</w:t>
      </w:r>
    </w:p>
    <w:p>
      <w:pPr>
        <w:pStyle w:val="Heading2"/>
      </w:pPr>
      <w:r>
        <w:t>2. Design &amp; Time‑of‑Day Restrictions</w:t>
      </w:r>
    </w:p>
    <w:p>
      <w:r>
        <w:t>• New York SAFE for Kids Act (pending 2024) – Bars “addictive feeds” for minors absent verified consent and disables push notifications between midnight and 6 a.m.</w:t>
      </w:r>
    </w:p>
    <w:p>
      <w:r>
        <w:t>• Colorado H.B. 1136 (2024) – Triggers pop‑up prompts after one hour of continuous use and directs the Department of Education to add digital‑literacy curricula.</w:t>
      </w:r>
    </w:p>
    <w:p>
      <w:r>
        <w:t>• Texas H.B. 18 (2023) – Imposes a duty to prevent known minors’ exposure to content that promotes self‑harm, eating disorders, or child sexual exploitation.</w:t>
      </w:r>
    </w:p>
    <w:p>
      <w:pPr>
        <w:pStyle w:val="Heading2"/>
      </w:pPr>
      <w:r>
        <w:t>3. Age‑Verification Mechanisms</w:t>
      </w:r>
    </w:p>
    <w:p>
      <w:r>
        <w:t>States variously permit government‑ID scans, third‑party credential checks, or knowledge‑based challenge questions. Indiana S.B. 17 (2024) authorizes independent vendors to certify age for “adult‑oriented websites,” illustrating the privacy trade‑offs inherent in verification schemes.</w:t>
      </w:r>
    </w:p>
    <w:p>
      <w:pPr>
        <w:pStyle w:val="Heading1"/>
      </w:pPr>
      <w:r>
        <w:t>Federal Framework</w:t>
      </w:r>
    </w:p>
    <w:p>
      <w:r>
        <w:t xml:space="preserve">• Children’s Online Privacy Protection Act (COPPA) – Enacted 1998, effective 2000; requires “verifiable parental consent” before collecting personal information from children under 13. The FTC issued a major rule update in April 2025 to address biometric data and third‑party sharing. </w:t>
      </w:r>
    </w:p>
    <w:p>
      <w:r>
        <w:t>• Pending Bills – Kids Online Safety Act (KOSA, S. 1409) and Protecting Kids on Social Media Act (S. 1291) would expand protections up to age 16‑17 and impose a duty of care on large platforms, but have not yet cleared Congress.</w:t>
      </w:r>
    </w:p>
    <w:p>
      <w:pPr>
        <w:pStyle w:val="Heading1"/>
      </w:pPr>
      <w:r>
        <w:t>Constitutional Considerations</w:t>
      </w:r>
    </w:p>
    <w:p>
      <w:pPr>
        <w:pStyle w:val="Heading2"/>
      </w:pPr>
      <w:r>
        <w:t>First Amendment</w:t>
      </w:r>
    </w:p>
    <w:p>
      <w:r>
        <w:t>• Reno v. ACLU, 521 U.S. 844 (1997) struck down portions of the Communications Decency Act that burdened adult speech online, applying strict scrutiny.</w:t>
        <w:br/>
        <w:t>• Strict‑scrutiny test: laws restricting minors’ access must serve a compelling interest and be narrowly tailored; incidental burdens on adults often prove fatal.</w:t>
      </w:r>
    </w:p>
    <w:p>
      <w:pPr>
        <w:pStyle w:val="Heading2"/>
      </w:pPr>
      <w:r>
        <w:t>Parental &amp; Children’s Rights</w:t>
      </w:r>
    </w:p>
    <w:p>
      <w:r>
        <w:t>• Tinker v. Des Moines Indep. Sch. Dist., 393 U.S. 503 (1969) – minors retain constitutional rights in school.</w:t>
        <w:br/>
        <w:t>• Meyer v. Nebraska (1923) &amp; Pierce v. Society of Sisters (1925) – affirm parents’ liberty to direct upbringing.</w:t>
        <w:br/>
        <w:t>Platforms’ regulations therefore juggle a tri‑partite balance: the state’s interest in child safety, children’s own speech rights, and robust parental autonomy.</w:t>
      </w:r>
    </w:p>
    <w:p>
      <w:pPr>
        <w:pStyle w:val="Heading1"/>
      </w:pPr>
      <w:r>
        <w:t>Child Digital Entertainers &amp; Labor Law</w:t>
      </w:r>
    </w:p>
    <w:p>
      <w:r>
        <w:t>The influencer economy has turned household vlogs and unboxing videos into multi‑million‑dollar enterprises (e.g., Ryan Kaji’s Ryan’s World). Illinois (2024), Minnesota, Utah, and California have enacted statutes requiring a percentage of influencer revenue to be placed in Coogan‑style blocked trusts and—in some states—granting minors a right to request deletion of videos once they reach adulthood. A Uniform Law Commission drafting committee chaired by leading scholars, including Professor Plunkett (reporter), is preparing a model Child Digital Entertainers Act for nationwide adoption.</w:t>
      </w:r>
    </w:p>
    <w:p>
      <w:pPr>
        <w:pStyle w:val="Heading1"/>
      </w:pPr>
      <w:r>
        <w:t>International Developments</w:t>
      </w:r>
    </w:p>
    <w:p>
      <w:r>
        <w:t>Australia announced in May 2025 a federal plan to bar social‑media accounts for users under 16, joining efforts in the EU (Digital Services Act) and U.K. (Age Appropriate Design Code) to tighten youth protections.</w:t>
      </w:r>
    </w:p>
    <w:p>
      <w:pPr>
        <w:pStyle w:val="Heading1"/>
      </w:pPr>
      <w:r>
        <w:t>Practice Pointers for Counsel</w:t>
      </w:r>
    </w:p>
    <w:p>
      <w:r>
        <w:t>1. Audit platform terms of service and privacy‑by‑design practices for COPPA compliance and new state age‑gating rules.</w:t>
        <w:br/>
        <w:t>2. Advise brand clients to include blocked‑trust provisions and labor‑hour limits when contracting with child influencers.</w:t>
        <w:br/>
        <w:t>3. When designing age‑verification flows, document data‑minimization steps to mitigate privacy litigation risk.</w:t>
        <w:br/>
        <w:t>4. Monitor ongoing litigation (e.g., NetChoice challenges) for injunctions that may pause enforcement dates.</w:t>
      </w:r>
    </w:p>
    <w:p>
      <w:pPr>
        <w:pStyle w:val="Heading1"/>
      </w:pPr>
      <w:r>
        <w:t>Additional Resources</w:t>
      </w:r>
    </w:p>
    <w:p>
      <w:r>
        <w:t>• COPPA Rule Text &amp; FTC FAQs – https://www.ftc.gov/legal-library/browse/rules/childrens-online-privacy-protection-rule-coppa</w:t>
        <w:br/>
        <w:t>• Florida H.B. 3 (2024) – https://www.flsenate.gov/Session/Bill/2024/3</w:t>
        <w:br/>
        <w:t>• Utah S.B. 152 (2023) – https://le.utah.gov/~2023/bills/static/SB0152.html</w:t>
        <w:br/>
        <w:t>• Leah Plunkett, Sharenthood: Why We Should Think Before We Talk About Our Kids Online (MIT Press 2019)</w:t>
        <w:br/>
        <w:t>• Naomi Cahn &amp; June Carbone, Red Families v. Blue Families (OUP 2010)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