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Actor" w:cs="Actor" w:eastAsia="Actor" w:hAnsi="Actor"/>
          <w:sz w:val="26"/>
          <w:szCs w:val="26"/>
        </w:rPr>
      </w:pPr>
      <w:r w:rsidDel="00000000" w:rsidR="00000000" w:rsidRPr="00000000">
        <w:rPr>
          <w:rFonts w:ascii="Actor" w:cs="Actor" w:eastAsia="Actor" w:hAnsi="Actor"/>
          <w:sz w:val="26"/>
          <w:szCs w:val="26"/>
          <w:rtl w:val="0"/>
        </w:rPr>
        <w:t xml:space="preserve">Free Speech in America’s Law Schools</w:t>
      </w:r>
    </w:p>
    <w:p w:rsidR="00000000" w:rsidDel="00000000" w:rsidP="00000000" w:rsidRDefault="00000000" w:rsidRPr="00000000" w14:paraId="00000002">
      <w:pPr>
        <w:rPr>
          <w:rFonts w:ascii="Actor" w:cs="Actor" w:eastAsia="Actor" w:hAnsi="Actor"/>
          <w:sz w:val="26"/>
          <w:szCs w:val="26"/>
          <w:highlight w:val="yellow"/>
        </w:rPr>
      </w:pPr>
      <w:r w:rsidDel="00000000" w:rsidR="00000000" w:rsidRPr="00000000">
        <w:rPr>
          <w:rFonts w:ascii="Actor" w:cs="Actor" w:eastAsia="Actor" w:hAnsi="Actor"/>
          <w:sz w:val="26"/>
          <w:szCs w:val="26"/>
          <w:rtl w:val="0"/>
        </w:rPr>
        <w:t xml:space="preserve">–Dean Russell K. Osgood</w:t>
      </w:r>
      <w:r w:rsidDel="00000000" w:rsidR="00000000" w:rsidRPr="00000000">
        <w:rPr>
          <w:rtl w:val="0"/>
        </w:rPr>
      </w:r>
    </w:p>
    <w:p w:rsidR="00000000" w:rsidDel="00000000" w:rsidP="00000000" w:rsidRDefault="00000000" w:rsidRPr="00000000" w14:paraId="00000003">
      <w:pPr>
        <w:rPr>
          <w:rFonts w:ascii="Actor" w:cs="Actor" w:eastAsia="Actor" w:hAnsi="Actor"/>
          <w:sz w:val="26"/>
          <w:szCs w:val="26"/>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Actor" w:cs="Actor" w:eastAsia="Actor" w:hAnsi="Actor"/>
          <w:sz w:val="26"/>
          <w:szCs w:val="26"/>
        </w:rPr>
      </w:pPr>
      <w:r w:rsidDel="00000000" w:rsidR="00000000" w:rsidRPr="00000000">
        <w:rPr>
          <w:rFonts w:ascii="Actor" w:cs="Actor" w:eastAsia="Actor" w:hAnsi="Actor"/>
          <w:sz w:val="26"/>
          <w:szCs w:val="26"/>
          <w:rtl w:val="0"/>
        </w:rPr>
        <w:t xml:space="preserve">Introduction</w:t>
      </w:r>
    </w:p>
    <w:p w:rsidR="00000000" w:rsidDel="00000000" w:rsidP="00000000" w:rsidRDefault="00000000" w:rsidRPr="00000000" w14:paraId="00000005">
      <w:pPr>
        <w:numPr>
          <w:ilvl w:val="1"/>
          <w:numId w:val="1"/>
        </w:numPr>
        <w:ind w:left="1440" w:hanging="360"/>
        <w:rPr>
          <w:rFonts w:ascii="Actor" w:cs="Actor" w:eastAsia="Actor" w:hAnsi="Actor"/>
          <w:sz w:val="26"/>
          <w:szCs w:val="26"/>
        </w:rPr>
      </w:pPr>
      <w:r w:rsidDel="00000000" w:rsidR="00000000" w:rsidRPr="00000000">
        <w:rPr>
          <w:rFonts w:ascii="Actor" w:cs="Actor" w:eastAsia="Actor" w:hAnsi="Actor"/>
          <w:sz w:val="26"/>
          <w:szCs w:val="26"/>
          <w:rtl w:val="0"/>
        </w:rPr>
        <w:t xml:space="preserve">Is there a problem with free speech being stifled on law school campuses? Dean Osgood describes some concerns about free speech in the last five years when it comes to self censorship of faculty and speech restricting behavior from students.</w:t>
      </w:r>
    </w:p>
    <w:p w:rsidR="00000000" w:rsidDel="00000000" w:rsidP="00000000" w:rsidRDefault="00000000" w:rsidRPr="00000000" w14:paraId="00000006">
      <w:pPr>
        <w:numPr>
          <w:ilvl w:val="1"/>
          <w:numId w:val="1"/>
        </w:numPr>
        <w:ind w:left="1440" w:hanging="360"/>
        <w:rPr>
          <w:rFonts w:ascii="Actor" w:cs="Actor" w:eastAsia="Actor" w:hAnsi="Actor"/>
          <w:sz w:val="26"/>
          <w:szCs w:val="26"/>
        </w:rPr>
      </w:pPr>
      <w:r w:rsidDel="00000000" w:rsidR="00000000" w:rsidRPr="00000000">
        <w:rPr>
          <w:rFonts w:ascii="Actor" w:cs="Actor" w:eastAsia="Actor" w:hAnsi="Actor"/>
          <w:sz w:val="26"/>
          <w:szCs w:val="26"/>
          <w:rtl w:val="0"/>
        </w:rPr>
        <w:t xml:space="preserve">Importance: In order to better understand the law, wide discussion is “essential” according to Dean Osgood, even to include beliefs that others may find poorly reasoned or even offensive.</w:t>
        <w:br w:type="textWrapping"/>
      </w:r>
    </w:p>
    <w:p w:rsidR="00000000" w:rsidDel="00000000" w:rsidP="00000000" w:rsidRDefault="00000000" w:rsidRPr="00000000" w14:paraId="00000007">
      <w:pPr>
        <w:numPr>
          <w:ilvl w:val="0"/>
          <w:numId w:val="1"/>
        </w:numPr>
        <w:ind w:left="720" w:hanging="360"/>
        <w:rPr>
          <w:rFonts w:ascii="Actor" w:cs="Actor" w:eastAsia="Actor" w:hAnsi="Actor"/>
          <w:sz w:val="26"/>
          <w:szCs w:val="26"/>
        </w:rPr>
      </w:pPr>
      <w:r w:rsidDel="00000000" w:rsidR="00000000" w:rsidRPr="00000000">
        <w:rPr>
          <w:rFonts w:ascii="Actor" w:cs="Actor" w:eastAsia="Actor" w:hAnsi="Actor"/>
          <w:sz w:val="26"/>
          <w:szCs w:val="26"/>
          <w:rtl w:val="0"/>
        </w:rPr>
        <w:t xml:space="preserve">Types of Speech that should not occur in the law school.</w:t>
      </w:r>
    </w:p>
    <w:p w:rsidR="00000000" w:rsidDel="00000000" w:rsidP="00000000" w:rsidRDefault="00000000" w:rsidRPr="00000000" w14:paraId="00000008">
      <w:pPr>
        <w:numPr>
          <w:ilvl w:val="1"/>
          <w:numId w:val="1"/>
        </w:numPr>
        <w:ind w:left="1440" w:hanging="360"/>
        <w:rPr>
          <w:rFonts w:ascii="Actor" w:cs="Actor" w:eastAsia="Actor" w:hAnsi="Actor"/>
          <w:sz w:val="26"/>
          <w:szCs w:val="26"/>
        </w:rPr>
      </w:pPr>
      <w:r w:rsidDel="00000000" w:rsidR="00000000" w:rsidRPr="00000000">
        <w:rPr>
          <w:rFonts w:ascii="Actor" w:cs="Actor" w:eastAsia="Actor" w:hAnsi="Actor"/>
          <w:sz w:val="26"/>
          <w:szCs w:val="26"/>
          <w:rtl w:val="0"/>
        </w:rPr>
        <w:t xml:space="preserve">Harassment of a student.  </w:t>
      </w:r>
    </w:p>
    <w:p w:rsidR="00000000" w:rsidDel="00000000" w:rsidP="00000000" w:rsidRDefault="00000000" w:rsidRPr="00000000" w14:paraId="00000009">
      <w:pPr>
        <w:numPr>
          <w:ilvl w:val="2"/>
          <w:numId w:val="1"/>
        </w:numPr>
        <w:ind w:left="2160" w:hanging="360"/>
        <w:rPr>
          <w:rFonts w:ascii="Actor" w:cs="Actor" w:eastAsia="Actor" w:hAnsi="Actor"/>
          <w:sz w:val="26"/>
          <w:szCs w:val="26"/>
        </w:rPr>
      </w:pPr>
      <w:r w:rsidDel="00000000" w:rsidR="00000000" w:rsidRPr="00000000">
        <w:rPr>
          <w:rFonts w:ascii="Actor" w:cs="Actor" w:eastAsia="Actor" w:hAnsi="Actor"/>
          <w:sz w:val="26"/>
          <w:szCs w:val="26"/>
          <w:rtl w:val="0"/>
        </w:rPr>
        <w:t xml:space="preserve">Harassment is not protected speech under the First Amendment. </w:t>
      </w:r>
    </w:p>
    <w:p w:rsidR="00000000" w:rsidDel="00000000" w:rsidP="00000000" w:rsidRDefault="00000000" w:rsidRPr="00000000" w14:paraId="0000000A">
      <w:pPr>
        <w:numPr>
          <w:ilvl w:val="1"/>
          <w:numId w:val="1"/>
        </w:numPr>
        <w:ind w:left="1440" w:hanging="360"/>
        <w:rPr>
          <w:rFonts w:ascii="Actor" w:cs="Actor" w:eastAsia="Actor" w:hAnsi="Actor"/>
          <w:sz w:val="26"/>
          <w:szCs w:val="26"/>
        </w:rPr>
      </w:pPr>
      <w:r w:rsidDel="00000000" w:rsidR="00000000" w:rsidRPr="00000000">
        <w:rPr>
          <w:rFonts w:ascii="Actor" w:cs="Actor" w:eastAsia="Actor" w:hAnsi="Actor"/>
          <w:sz w:val="26"/>
          <w:szCs w:val="26"/>
          <w:rtl w:val="0"/>
        </w:rPr>
        <w:t xml:space="preserve">Using insulting terms such as racially demeaning language should not occur.</w:t>
      </w:r>
    </w:p>
    <w:p w:rsidR="00000000" w:rsidDel="00000000" w:rsidP="00000000" w:rsidRDefault="00000000" w:rsidRPr="00000000" w14:paraId="0000000B">
      <w:pPr>
        <w:numPr>
          <w:ilvl w:val="2"/>
          <w:numId w:val="1"/>
        </w:numPr>
        <w:ind w:left="2160" w:hanging="360"/>
        <w:rPr>
          <w:rFonts w:ascii="Actor" w:cs="Actor" w:eastAsia="Actor" w:hAnsi="Actor"/>
          <w:sz w:val="26"/>
          <w:szCs w:val="26"/>
        </w:rPr>
      </w:pPr>
      <w:r w:rsidDel="00000000" w:rsidR="00000000" w:rsidRPr="00000000">
        <w:rPr>
          <w:rFonts w:ascii="Actor" w:cs="Actor" w:eastAsia="Actor" w:hAnsi="Actor"/>
          <w:sz w:val="26"/>
          <w:szCs w:val="26"/>
          <w:rtl w:val="0"/>
        </w:rPr>
        <w:t xml:space="preserve">The use of racial epithets is not illegal speech under the First Amendment. </w:t>
      </w:r>
    </w:p>
    <w:p w:rsidR="00000000" w:rsidDel="00000000" w:rsidP="00000000" w:rsidRDefault="00000000" w:rsidRPr="00000000" w14:paraId="0000000C">
      <w:pPr>
        <w:numPr>
          <w:ilvl w:val="2"/>
          <w:numId w:val="1"/>
        </w:numPr>
        <w:ind w:left="2160" w:hanging="360"/>
        <w:rPr>
          <w:rFonts w:ascii="Actor" w:cs="Actor" w:eastAsia="Actor" w:hAnsi="Actor"/>
          <w:sz w:val="26"/>
          <w:szCs w:val="26"/>
        </w:rPr>
      </w:pPr>
      <w:r w:rsidDel="00000000" w:rsidR="00000000" w:rsidRPr="00000000">
        <w:rPr>
          <w:rFonts w:ascii="Actor" w:cs="Actor" w:eastAsia="Actor" w:hAnsi="Actor"/>
          <w:sz w:val="26"/>
          <w:szCs w:val="26"/>
          <w:rtl w:val="0"/>
        </w:rPr>
        <w:t xml:space="preserve">However of the humiliating and demeaning history and impact of the word, Dean Osgood opposes its use. </w:t>
        <w:br w:type="textWrapping"/>
      </w:r>
    </w:p>
    <w:p w:rsidR="00000000" w:rsidDel="00000000" w:rsidP="00000000" w:rsidRDefault="00000000" w:rsidRPr="00000000" w14:paraId="0000000D">
      <w:pPr>
        <w:numPr>
          <w:ilvl w:val="0"/>
          <w:numId w:val="1"/>
        </w:numPr>
        <w:ind w:left="720" w:hanging="360"/>
        <w:rPr>
          <w:rFonts w:ascii="Actor" w:cs="Actor" w:eastAsia="Actor" w:hAnsi="Actor"/>
          <w:sz w:val="26"/>
          <w:szCs w:val="26"/>
        </w:rPr>
      </w:pPr>
      <w:r w:rsidDel="00000000" w:rsidR="00000000" w:rsidRPr="00000000">
        <w:rPr>
          <w:rFonts w:ascii="Actor" w:cs="Actor" w:eastAsia="Actor" w:hAnsi="Actor"/>
          <w:sz w:val="26"/>
          <w:szCs w:val="26"/>
          <w:rtl w:val="0"/>
        </w:rPr>
        <w:t xml:space="preserve">  Examples of Free Speech Related Issues on Campus</w:t>
      </w:r>
    </w:p>
    <w:p w:rsidR="00000000" w:rsidDel="00000000" w:rsidP="00000000" w:rsidRDefault="00000000" w:rsidRPr="00000000" w14:paraId="0000000E">
      <w:pPr>
        <w:numPr>
          <w:ilvl w:val="1"/>
          <w:numId w:val="1"/>
        </w:numPr>
        <w:ind w:left="1440" w:hanging="360"/>
        <w:rPr>
          <w:rFonts w:ascii="Actor" w:cs="Actor" w:eastAsia="Actor" w:hAnsi="Actor"/>
          <w:sz w:val="26"/>
          <w:szCs w:val="26"/>
        </w:rPr>
      </w:pPr>
      <w:r w:rsidDel="00000000" w:rsidR="00000000" w:rsidRPr="00000000">
        <w:rPr>
          <w:rFonts w:ascii="Actor" w:cs="Actor" w:eastAsia="Actor" w:hAnsi="Actor"/>
          <w:sz w:val="26"/>
          <w:szCs w:val="26"/>
          <w:rtl w:val="0"/>
        </w:rPr>
        <w:t xml:space="preserve">Faculty Firings. </w:t>
      </w:r>
    </w:p>
    <w:p w:rsidR="00000000" w:rsidDel="00000000" w:rsidP="00000000" w:rsidRDefault="00000000" w:rsidRPr="00000000" w14:paraId="0000000F">
      <w:pPr>
        <w:numPr>
          <w:ilvl w:val="2"/>
          <w:numId w:val="1"/>
        </w:numPr>
        <w:ind w:left="2160" w:hanging="360"/>
        <w:rPr>
          <w:rFonts w:ascii="Actor" w:cs="Actor" w:eastAsia="Actor" w:hAnsi="Actor"/>
          <w:sz w:val="26"/>
          <w:szCs w:val="26"/>
        </w:rPr>
      </w:pPr>
      <w:hyperlink r:id="rId6">
        <w:r w:rsidDel="00000000" w:rsidR="00000000" w:rsidRPr="00000000">
          <w:rPr>
            <w:rFonts w:ascii="Actor" w:cs="Actor" w:eastAsia="Actor" w:hAnsi="Actor"/>
            <w:color w:val="1155cc"/>
            <w:sz w:val="26"/>
            <w:szCs w:val="26"/>
            <w:u w:val="single"/>
            <w:rtl w:val="0"/>
          </w:rPr>
          <w:t xml:space="preserve">Example</w:t>
        </w:r>
      </w:hyperlink>
      <w:r w:rsidDel="00000000" w:rsidR="00000000" w:rsidRPr="00000000">
        <w:rPr>
          <w:rFonts w:ascii="Actor" w:cs="Actor" w:eastAsia="Actor" w:hAnsi="Actor"/>
          <w:sz w:val="26"/>
          <w:szCs w:val="26"/>
          <w:rtl w:val="0"/>
        </w:rPr>
        <w:t xml:space="preserve">: Georgetown law professor fired over comments made about black students. The comments were on a video conference with another faculty member in which she described how a lot of her "lower" students in her classes were Black.</w:t>
      </w:r>
    </w:p>
    <w:p w:rsidR="00000000" w:rsidDel="00000000" w:rsidP="00000000" w:rsidRDefault="00000000" w:rsidRPr="00000000" w14:paraId="00000010">
      <w:pPr>
        <w:numPr>
          <w:ilvl w:val="1"/>
          <w:numId w:val="1"/>
        </w:numPr>
        <w:ind w:left="1440" w:hanging="360"/>
        <w:rPr>
          <w:rFonts w:ascii="Actor" w:cs="Actor" w:eastAsia="Actor" w:hAnsi="Actor"/>
          <w:sz w:val="26"/>
          <w:szCs w:val="26"/>
        </w:rPr>
      </w:pPr>
      <w:r w:rsidDel="00000000" w:rsidR="00000000" w:rsidRPr="00000000">
        <w:rPr>
          <w:rFonts w:ascii="Actor" w:cs="Actor" w:eastAsia="Actor" w:hAnsi="Actor"/>
          <w:sz w:val="26"/>
          <w:szCs w:val="26"/>
          <w:rtl w:val="0"/>
        </w:rPr>
        <w:t xml:space="preserve">Student examples and the cases.</w:t>
      </w:r>
    </w:p>
    <w:p w:rsidR="00000000" w:rsidDel="00000000" w:rsidP="00000000" w:rsidRDefault="00000000" w:rsidRPr="00000000" w14:paraId="00000011">
      <w:pPr>
        <w:numPr>
          <w:ilvl w:val="2"/>
          <w:numId w:val="1"/>
        </w:numPr>
        <w:ind w:left="2160" w:hanging="360"/>
        <w:rPr>
          <w:rFonts w:ascii="Actor" w:cs="Actor" w:eastAsia="Actor" w:hAnsi="Actor"/>
          <w:sz w:val="26"/>
          <w:szCs w:val="26"/>
        </w:rPr>
      </w:pPr>
      <w:r w:rsidDel="00000000" w:rsidR="00000000" w:rsidRPr="00000000">
        <w:rPr>
          <w:rFonts w:ascii="Actor" w:cs="Actor" w:eastAsia="Actor" w:hAnsi="Actor"/>
          <w:sz w:val="26"/>
          <w:szCs w:val="26"/>
          <w:rtl w:val="0"/>
        </w:rPr>
        <w:t xml:space="preserve">Osgood explains how students have objected to using certain languages in the the classroom.</w:t>
      </w:r>
    </w:p>
    <w:p w:rsidR="00000000" w:rsidDel="00000000" w:rsidP="00000000" w:rsidRDefault="00000000" w:rsidRPr="00000000" w14:paraId="00000012">
      <w:pPr>
        <w:numPr>
          <w:ilvl w:val="3"/>
          <w:numId w:val="1"/>
        </w:numPr>
        <w:ind w:left="2880" w:hanging="360"/>
        <w:rPr>
          <w:rFonts w:ascii="Actor" w:cs="Actor" w:eastAsia="Actor" w:hAnsi="Actor"/>
          <w:sz w:val="26"/>
          <w:szCs w:val="26"/>
        </w:rPr>
      </w:pPr>
      <w:r w:rsidDel="00000000" w:rsidR="00000000" w:rsidRPr="00000000">
        <w:rPr>
          <w:rFonts w:ascii="Actor" w:cs="Actor" w:eastAsia="Actor" w:hAnsi="Actor"/>
          <w:sz w:val="26"/>
          <w:szCs w:val="26"/>
          <w:highlight w:val="white"/>
          <w:rtl w:val="0"/>
        </w:rPr>
        <w:t xml:space="preserve">Dean Osgood explains how students objected to the use of the word “Fetus” in the classroom with relation to abortion, even though fetus is a term used in the decision.</w:t>
      </w:r>
    </w:p>
    <w:p w:rsidR="00000000" w:rsidDel="00000000" w:rsidP="00000000" w:rsidRDefault="00000000" w:rsidRPr="00000000" w14:paraId="00000013">
      <w:pPr>
        <w:numPr>
          <w:ilvl w:val="4"/>
          <w:numId w:val="1"/>
        </w:numPr>
        <w:ind w:left="3600" w:hanging="360"/>
        <w:rPr>
          <w:rFonts w:ascii="Actor" w:cs="Actor" w:eastAsia="Actor" w:hAnsi="Actor"/>
          <w:sz w:val="26"/>
          <w:szCs w:val="26"/>
        </w:rPr>
      </w:pPr>
      <w:hyperlink r:id="rId7">
        <w:r w:rsidDel="00000000" w:rsidR="00000000" w:rsidRPr="00000000">
          <w:rPr>
            <w:rFonts w:ascii="Actor" w:cs="Actor" w:eastAsia="Actor" w:hAnsi="Actor"/>
            <w:i w:val="1"/>
            <w:color w:val="1155cc"/>
            <w:sz w:val="26"/>
            <w:szCs w:val="26"/>
            <w:highlight w:val="white"/>
            <w:u w:val="single"/>
            <w:rtl w:val="0"/>
          </w:rPr>
          <w:t xml:space="preserve">Planned Parenthood of Southerstern Pennsylvania v. Casey (1992). </w:t>
        </w:r>
      </w:hyperlink>
      <w:r w:rsidDel="00000000" w:rsidR="00000000" w:rsidRPr="00000000">
        <w:rPr>
          <w:rFonts w:ascii="Actor" w:cs="Actor" w:eastAsia="Actor" w:hAnsi="Actor"/>
          <w:sz w:val="26"/>
          <w:szCs w:val="26"/>
          <w:highlight w:val="white"/>
          <w:rtl w:val="0"/>
        </w:rPr>
        <w:t xml:space="preserve"> Planned Parenthood held amongst other things that state laws regulating abortions should not place an “undue burdon” on women’s right to abortion.  The law has since been overturned by </w:t>
      </w:r>
      <w:hyperlink r:id="rId8">
        <w:r w:rsidDel="00000000" w:rsidR="00000000" w:rsidRPr="00000000">
          <w:rPr>
            <w:rFonts w:ascii="Actor" w:cs="Actor" w:eastAsia="Actor" w:hAnsi="Actor"/>
            <w:i w:val="1"/>
            <w:color w:val="1155cc"/>
            <w:sz w:val="26"/>
            <w:szCs w:val="26"/>
            <w:highlight w:val="white"/>
            <w:u w:val="single"/>
            <w:rtl w:val="0"/>
          </w:rPr>
          <w:t xml:space="preserve">Dobbs v. Jackson</w:t>
        </w:r>
      </w:hyperlink>
      <w:r w:rsidDel="00000000" w:rsidR="00000000" w:rsidRPr="00000000">
        <w:rPr>
          <w:rFonts w:ascii="Actor" w:cs="Actor" w:eastAsia="Actor" w:hAnsi="Actor"/>
          <w:sz w:val="26"/>
          <w:szCs w:val="26"/>
          <w:highlight w:val="white"/>
          <w:rtl w:val="0"/>
        </w:rPr>
        <w:t xml:space="preserve"> (2022) women’s reproductive health organization. </w:t>
      </w:r>
    </w:p>
    <w:p w:rsidR="00000000" w:rsidDel="00000000" w:rsidP="00000000" w:rsidRDefault="00000000" w:rsidRPr="00000000" w14:paraId="00000014">
      <w:pPr>
        <w:ind w:left="3600" w:firstLine="0"/>
        <w:rPr>
          <w:rFonts w:ascii="Actor" w:cs="Actor" w:eastAsia="Actor" w:hAnsi="Actor"/>
          <w:sz w:val="26"/>
          <w:szCs w:val="26"/>
          <w:highlight w:val="white"/>
        </w:rPr>
      </w:pPr>
      <w:r w:rsidDel="00000000" w:rsidR="00000000" w:rsidRPr="00000000">
        <w:rPr>
          <w:rtl w:val="0"/>
        </w:rPr>
      </w:r>
    </w:p>
    <w:p w:rsidR="00000000" w:rsidDel="00000000" w:rsidP="00000000" w:rsidRDefault="00000000" w:rsidRPr="00000000" w14:paraId="00000015">
      <w:pPr>
        <w:numPr>
          <w:ilvl w:val="3"/>
          <w:numId w:val="1"/>
        </w:numPr>
        <w:ind w:left="2880" w:hanging="360"/>
        <w:rPr>
          <w:rFonts w:ascii="Actor" w:cs="Actor" w:eastAsia="Actor" w:hAnsi="Actor"/>
          <w:sz w:val="26"/>
          <w:szCs w:val="26"/>
          <w:highlight w:val="white"/>
        </w:rPr>
      </w:pPr>
      <w:r w:rsidDel="00000000" w:rsidR="00000000" w:rsidRPr="00000000">
        <w:rPr>
          <w:rFonts w:ascii="Actor" w:cs="Actor" w:eastAsia="Actor" w:hAnsi="Actor"/>
          <w:sz w:val="26"/>
          <w:szCs w:val="26"/>
          <w:highlight w:val="white"/>
          <w:rtl w:val="0"/>
        </w:rPr>
        <w:t xml:space="preserve">Dean Osgood explains how a student was offended by the use of the word “alien” to refer to immigrants.  </w:t>
      </w:r>
    </w:p>
    <w:p w:rsidR="00000000" w:rsidDel="00000000" w:rsidP="00000000" w:rsidRDefault="00000000" w:rsidRPr="00000000" w14:paraId="00000016">
      <w:pPr>
        <w:numPr>
          <w:ilvl w:val="4"/>
          <w:numId w:val="1"/>
        </w:numPr>
        <w:ind w:left="3600" w:hanging="360"/>
        <w:rPr>
          <w:rFonts w:ascii="Actor" w:cs="Actor" w:eastAsia="Actor" w:hAnsi="Actor"/>
          <w:sz w:val="26"/>
          <w:szCs w:val="26"/>
          <w:highlight w:val="white"/>
        </w:rPr>
      </w:pPr>
      <w:hyperlink r:id="rId9">
        <w:r w:rsidDel="00000000" w:rsidR="00000000" w:rsidRPr="00000000">
          <w:rPr>
            <w:rFonts w:ascii="Actor" w:cs="Actor" w:eastAsia="Actor" w:hAnsi="Actor"/>
            <w:i w:val="1"/>
            <w:color w:val="1155cc"/>
            <w:sz w:val="26"/>
            <w:szCs w:val="26"/>
            <w:highlight w:val="white"/>
            <w:u w:val="single"/>
            <w:rtl w:val="0"/>
          </w:rPr>
          <w:t xml:space="preserve">See Vertalas v. Holde</w:t>
        </w:r>
      </w:hyperlink>
      <w:r w:rsidDel="00000000" w:rsidR="00000000" w:rsidRPr="00000000">
        <w:rPr>
          <w:rFonts w:ascii="Actor" w:cs="Actor" w:eastAsia="Actor" w:hAnsi="Actor"/>
          <w:sz w:val="26"/>
          <w:szCs w:val="26"/>
          <w:highlight w:val="white"/>
          <w:rtl w:val="0"/>
        </w:rPr>
        <w:t xml:space="preserve">r (2012) which held that the entry of an alien into the United States was not unlawful under the Illegal Immigration Reform and Immigrant Responsibility Act of 1996 (IIRIRA), since the IIRIRA was not in effect at such a time.</w:t>
      </w:r>
    </w:p>
    <w:p w:rsidR="00000000" w:rsidDel="00000000" w:rsidP="00000000" w:rsidRDefault="00000000" w:rsidRPr="00000000" w14:paraId="00000017">
      <w:pPr>
        <w:numPr>
          <w:ilvl w:val="1"/>
          <w:numId w:val="1"/>
        </w:numPr>
        <w:ind w:left="1440" w:hanging="360"/>
        <w:rPr>
          <w:rFonts w:ascii="Actor" w:cs="Actor" w:eastAsia="Actor" w:hAnsi="Actor"/>
          <w:sz w:val="26"/>
          <w:szCs w:val="26"/>
          <w:highlight w:val="white"/>
        </w:rPr>
      </w:pPr>
      <w:r w:rsidDel="00000000" w:rsidR="00000000" w:rsidRPr="00000000">
        <w:rPr>
          <w:rFonts w:ascii="Actor" w:cs="Actor" w:eastAsia="Actor" w:hAnsi="Actor"/>
          <w:sz w:val="26"/>
          <w:szCs w:val="26"/>
          <w:highlight w:val="white"/>
          <w:rtl w:val="0"/>
        </w:rPr>
        <w:t xml:space="preserve">Dean Osgood explains how some faculty will skip over legal topics because they are controversial or evoke intense student response. </w:t>
      </w:r>
    </w:p>
    <w:p w:rsidR="00000000" w:rsidDel="00000000" w:rsidP="00000000" w:rsidRDefault="00000000" w:rsidRPr="00000000" w14:paraId="00000018">
      <w:pPr>
        <w:numPr>
          <w:ilvl w:val="2"/>
          <w:numId w:val="1"/>
        </w:numPr>
        <w:ind w:left="2160" w:hanging="360"/>
        <w:rPr>
          <w:rFonts w:ascii="Actor" w:cs="Actor" w:eastAsia="Actor" w:hAnsi="Actor"/>
          <w:sz w:val="26"/>
          <w:szCs w:val="26"/>
          <w:highlight w:val="white"/>
        </w:rPr>
      </w:pPr>
      <w:r w:rsidDel="00000000" w:rsidR="00000000" w:rsidRPr="00000000">
        <w:rPr>
          <w:rFonts w:ascii="Actor" w:cs="Actor" w:eastAsia="Actor" w:hAnsi="Actor"/>
          <w:sz w:val="26"/>
          <w:szCs w:val="26"/>
          <w:highlight w:val="white"/>
          <w:rtl w:val="0"/>
        </w:rPr>
        <w:t xml:space="preserve">Qualified Immunity is a legal principle that generally provides government officials immunity from civil suits unless the plaintiff shows that the official violated "clearly established statutory or constitutional rights of which a reasonable person would have known.”</w:t>
      </w:r>
    </w:p>
    <w:p w:rsidR="00000000" w:rsidDel="00000000" w:rsidP="00000000" w:rsidRDefault="00000000" w:rsidRPr="00000000" w14:paraId="00000019">
      <w:pPr>
        <w:numPr>
          <w:ilvl w:val="3"/>
          <w:numId w:val="1"/>
        </w:numPr>
        <w:ind w:left="2880" w:hanging="360"/>
        <w:rPr>
          <w:rFonts w:ascii="Actor" w:cs="Actor" w:eastAsia="Actor" w:hAnsi="Actor"/>
          <w:sz w:val="26"/>
          <w:szCs w:val="26"/>
          <w:highlight w:val="white"/>
        </w:rPr>
      </w:pPr>
      <w:r w:rsidDel="00000000" w:rsidR="00000000" w:rsidRPr="00000000">
        <w:rPr>
          <w:rFonts w:ascii="Actor" w:cs="Actor" w:eastAsia="Actor" w:hAnsi="Actor"/>
          <w:sz w:val="26"/>
          <w:szCs w:val="26"/>
          <w:highlight w:val="white"/>
          <w:rtl w:val="0"/>
        </w:rPr>
        <w:t xml:space="preserve">Dean Osgood explains that qualified immunity with regard to police can be particularly controversial.  He explains how in his class he will engage on the topic using extreme examples to show how revoking all immunity as well as blanket immunity can both lead to unjust outcomes. </w:t>
      </w:r>
    </w:p>
    <w:p w:rsidR="00000000" w:rsidDel="00000000" w:rsidP="00000000" w:rsidRDefault="00000000" w:rsidRPr="00000000" w14:paraId="0000001A">
      <w:pPr>
        <w:numPr>
          <w:ilvl w:val="2"/>
          <w:numId w:val="1"/>
        </w:numPr>
        <w:ind w:left="2160" w:hanging="360"/>
        <w:rPr>
          <w:rFonts w:ascii="Actor" w:cs="Actor" w:eastAsia="Actor" w:hAnsi="Actor"/>
          <w:sz w:val="26"/>
          <w:szCs w:val="26"/>
          <w:highlight w:val="white"/>
        </w:rPr>
      </w:pPr>
      <w:r w:rsidDel="00000000" w:rsidR="00000000" w:rsidRPr="00000000">
        <w:rPr>
          <w:rFonts w:ascii="Actor" w:cs="Actor" w:eastAsia="Actor" w:hAnsi="Actor"/>
          <w:sz w:val="26"/>
          <w:szCs w:val="26"/>
          <w:highlight w:val="white"/>
          <w:rtl w:val="0"/>
        </w:rPr>
        <w:t xml:space="preserve">Rape law involves a particularly intimate and reprehensible criminal act. Dean Osgood explains how some students have expressed difficulty in dealing with the material as well as faculty who have determined to skip the topic to avoid triggering possible offense.  Osgood points out that it is often controversial and sensitive legal topics that are likely to be developing areas of law and as a result, it can be particularly important for attorneys to understand the law so as to better understand how it may evolve. </w:t>
      </w:r>
    </w:p>
    <w:p w:rsidR="00000000" w:rsidDel="00000000" w:rsidP="00000000" w:rsidRDefault="00000000" w:rsidRPr="00000000" w14:paraId="0000001B">
      <w:pPr>
        <w:numPr>
          <w:ilvl w:val="3"/>
          <w:numId w:val="1"/>
        </w:numPr>
        <w:ind w:left="2880" w:hanging="360"/>
        <w:rPr>
          <w:rFonts w:ascii="Actor" w:cs="Actor" w:eastAsia="Actor" w:hAnsi="Actor"/>
          <w:sz w:val="26"/>
          <w:szCs w:val="26"/>
          <w:highlight w:val="white"/>
        </w:rPr>
      </w:pPr>
      <w:r w:rsidDel="00000000" w:rsidR="00000000" w:rsidRPr="00000000">
        <w:rPr>
          <w:rFonts w:ascii="Actor" w:cs="Actor" w:eastAsia="Actor" w:hAnsi="Actor"/>
          <w:sz w:val="26"/>
          <w:szCs w:val="26"/>
          <w:highlight w:val="white"/>
          <w:rtl w:val="0"/>
        </w:rPr>
        <w:t xml:space="preserve">Examples of “marital rape,” which in the United States which at one time prevented prosecutors from charging a husband with the rape of his wife.  Such a law, which today is widely scorned</w:t>
      </w:r>
    </w:p>
    <w:p w:rsidR="00000000" w:rsidDel="00000000" w:rsidP="00000000" w:rsidRDefault="00000000" w:rsidRPr="00000000" w14:paraId="0000001C">
      <w:pPr>
        <w:numPr>
          <w:ilvl w:val="1"/>
          <w:numId w:val="1"/>
        </w:numPr>
        <w:ind w:left="1440" w:hanging="360"/>
        <w:rPr>
          <w:rFonts w:ascii="Actor" w:cs="Actor" w:eastAsia="Actor" w:hAnsi="Actor"/>
          <w:sz w:val="26"/>
          <w:szCs w:val="26"/>
          <w:highlight w:val="white"/>
          <w:u w:val="none"/>
        </w:rPr>
      </w:pPr>
      <w:r w:rsidDel="00000000" w:rsidR="00000000" w:rsidRPr="00000000">
        <w:rPr>
          <w:rFonts w:ascii="Actor" w:cs="Actor" w:eastAsia="Actor" w:hAnsi="Actor"/>
          <w:sz w:val="26"/>
          <w:szCs w:val="26"/>
          <w:highlight w:val="white"/>
          <w:rtl w:val="0"/>
        </w:rPr>
        <w:t xml:space="preserve">Students shouting down faculty at law schools. </w:t>
      </w:r>
    </w:p>
    <w:p w:rsidR="00000000" w:rsidDel="00000000" w:rsidP="00000000" w:rsidRDefault="00000000" w:rsidRPr="00000000" w14:paraId="0000001D">
      <w:pPr>
        <w:numPr>
          <w:ilvl w:val="2"/>
          <w:numId w:val="1"/>
        </w:numPr>
        <w:ind w:left="2160" w:hanging="360"/>
        <w:rPr>
          <w:rFonts w:ascii="Actor" w:cs="Actor" w:eastAsia="Actor" w:hAnsi="Actor"/>
          <w:sz w:val="26"/>
          <w:szCs w:val="26"/>
          <w:highlight w:val="white"/>
          <w:u w:val="none"/>
        </w:rPr>
      </w:pPr>
      <w:r w:rsidDel="00000000" w:rsidR="00000000" w:rsidRPr="00000000">
        <w:rPr>
          <w:rFonts w:ascii="Actor" w:cs="Actor" w:eastAsia="Actor" w:hAnsi="Actor"/>
          <w:sz w:val="26"/>
          <w:szCs w:val="26"/>
          <w:highlight w:val="white"/>
          <w:rtl w:val="0"/>
        </w:rPr>
        <w:t xml:space="preserve">Dean Osgood explains how students should be permitted to ask questions but should not interrupt speakers on campus.</w:t>
      </w:r>
    </w:p>
    <w:p w:rsidR="00000000" w:rsidDel="00000000" w:rsidP="00000000" w:rsidRDefault="00000000" w:rsidRPr="00000000" w14:paraId="0000001E">
      <w:pPr>
        <w:numPr>
          <w:ilvl w:val="2"/>
          <w:numId w:val="1"/>
        </w:numPr>
        <w:ind w:left="2160" w:hanging="360"/>
        <w:rPr>
          <w:rFonts w:ascii="Actor" w:cs="Actor" w:eastAsia="Actor" w:hAnsi="Actor"/>
          <w:sz w:val="26"/>
          <w:szCs w:val="26"/>
          <w:highlight w:val="white"/>
          <w:u w:val="none"/>
        </w:rPr>
      </w:pPr>
      <w:r w:rsidDel="00000000" w:rsidR="00000000" w:rsidRPr="00000000">
        <w:rPr>
          <w:rFonts w:ascii="Actor" w:cs="Actor" w:eastAsia="Actor" w:hAnsi="Actor"/>
          <w:sz w:val="26"/>
          <w:szCs w:val="26"/>
          <w:highlight w:val="white"/>
          <w:rtl w:val="0"/>
        </w:rPr>
        <w:t xml:space="preserve">Legal Principle: there is no heckler’s veto in the First Amendment.  A heckler’s veto occurs when the government accepts restrictions on speech because of the anticipated or actual reactions of opponents of the speech. The Supreme Court first recognized the term in Brown v. Louisiana (1966), citing the work of First Amendment expert Harry Kalven Jr., who coined the phrase.</w:t>
        <w:br w:type="textWrapping"/>
      </w:r>
    </w:p>
    <w:p w:rsidR="00000000" w:rsidDel="00000000" w:rsidP="00000000" w:rsidRDefault="00000000" w:rsidRPr="00000000" w14:paraId="0000001F">
      <w:pPr>
        <w:numPr>
          <w:ilvl w:val="0"/>
          <w:numId w:val="1"/>
        </w:numPr>
        <w:ind w:left="720" w:hanging="360"/>
        <w:rPr>
          <w:rFonts w:ascii="Actor" w:cs="Actor" w:eastAsia="Actor" w:hAnsi="Actor"/>
          <w:sz w:val="26"/>
          <w:szCs w:val="26"/>
          <w:highlight w:val="white"/>
          <w:u w:val="none"/>
        </w:rPr>
      </w:pPr>
      <w:r w:rsidDel="00000000" w:rsidR="00000000" w:rsidRPr="00000000">
        <w:rPr>
          <w:rFonts w:ascii="Actor" w:cs="Actor" w:eastAsia="Actor" w:hAnsi="Actor"/>
          <w:sz w:val="26"/>
          <w:szCs w:val="26"/>
          <w:highlight w:val="white"/>
          <w:rtl w:val="0"/>
        </w:rPr>
        <w:t xml:space="preserve">Conclusion</w:t>
      </w:r>
    </w:p>
    <w:p w:rsidR="00000000" w:rsidDel="00000000" w:rsidP="00000000" w:rsidRDefault="00000000" w:rsidRPr="00000000" w14:paraId="00000020">
      <w:pPr>
        <w:numPr>
          <w:ilvl w:val="1"/>
          <w:numId w:val="1"/>
        </w:numPr>
        <w:ind w:left="1440" w:hanging="360"/>
        <w:rPr>
          <w:rFonts w:ascii="Actor" w:cs="Actor" w:eastAsia="Actor" w:hAnsi="Actor"/>
          <w:sz w:val="26"/>
          <w:szCs w:val="26"/>
          <w:highlight w:val="white"/>
          <w:u w:val="none"/>
        </w:rPr>
      </w:pPr>
      <w:r w:rsidDel="00000000" w:rsidR="00000000" w:rsidRPr="00000000">
        <w:rPr>
          <w:rFonts w:ascii="Actor" w:cs="Actor" w:eastAsia="Actor" w:hAnsi="Actor"/>
          <w:sz w:val="26"/>
          <w:szCs w:val="26"/>
          <w:highlight w:val="white"/>
          <w:rtl w:val="0"/>
        </w:rPr>
        <w:t xml:space="preserve">Dean Osgood explains how open discourse is essential to the teaching and understanding of laws and makes the case for wider discussion of topics on campus. </w:t>
      </w:r>
    </w:p>
    <w:p w:rsidR="00000000" w:rsidDel="00000000" w:rsidP="00000000" w:rsidRDefault="00000000" w:rsidRPr="00000000" w14:paraId="00000021">
      <w:pPr>
        <w:jc w:val="both"/>
        <w:rPr>
          <w:rFonts w:ascii="Actor" w:cs="Actor" w:eastAsia="Actor" w:hAnsi="Actor"/>
          <w:sz w:val="26"/>
          <w:szCs w:val="26"/>
        </w:rPr>
      </w:pPr>
      <w:r w:rsidDel="00000000" w:rsidR="00000000" w:rsidRPr="00000000">
        <w:rPr>
          <w:rtl w:val="0"/>
        </w:rPr>
      </w:r>
    </w:p>
    <w:p w:rsidR="00000000" w:rsidDel="00000000" w:rsidP="00000000" w:rsidRDefault="00000000" w:rsidRPr="00000000" w14:paraId="00000022">
      <w:pPr>
        <w:jc w:val="both"/>
        <w:rPr>
          <w:rFonts w:ascii="Actor" w:cs="Actor" w:eastAsia="Actor" w:hAnsi="Actor"/>
          <w:sz w:val="26"/>
          <w:szCs w:val="26"/>
        </w:rPr>
      </w:pPr>
      <w:r w:rsidDel="00000000" w:rsidR="00000000" w:rsidRPr="00000000">
        <w:rPr>
          <w:rFonts w:ascii="Actor" w:cs="Actor" w:eastAsia="Actor" w:hAnsi="Actor"/>
          <w:sz w:val="26"/>
          <w:szCs w:val="26"/>
          <w:rtl w:val="0"/>
        </w:rPr>
        <w:t xml:space="preserve"> </w:t>
      </w:r>
    </w:p>
    <w:p w:rsidR="00000000" w:rsidDel="00000000" w:rsidP="00000000" w:rsidRDefault="00000000" w:rsidRPr="00000000" w14:paraId="00000023">
      <w:pPr>
        <w:jc w:val="both"/>
        <w:rPr>
          <w:rFonts w:ascii="Actor" w:cs="Actor" w:eastAsia="Actor" w:hAnsi="Actor"/>
          <w:sz w:val="26"/>
          <w:szCs w:val="26"/>
        </w:rPr>
      </w:pPr>
      <w:r w:rsidDel="00000000" w:rsidR="00000000" w:rsidRPr="00000000">
        <w:rPr>
          <w:rtl w:val="0"/>
        </w:rPr>
      </w:r>
    </w:p>
    <w:p w:rsidR="00000000" w:rsidDel="00000000" w:rsidP="00000000" w:rsidRDefault="00000000" w:rsidRPr="00000000" w14:paraId="00000024">
      <w:pPr>
        <w:jc w:val="both"/>
        <w:rPr>
          <w:rFonts w:ascii="Actor" w:cs="Actor" w:eastAsia="Actor" w:hAnsi="Actor"/>
          <w:sz w:val="26"/>
          <w:szCs w:val="26"/>
        </w:rPr>
      </w:pPr>
      <w:r w:rsidDel="00000000" w:rsidR="00000000" w:rsidRPr="00000000">
        <w:rPr>
          <w:rtl w:val="0"/>
        </w:rPr>
      </w:r>
    </w:p>
    <w:p w:rsidR="00000000" w:rsidDel="00000000" w:rsidP="00000000" w:rsidRDefault="00000000" w:rsidRPr="00000000" w14:paraId="00000025">
      <w:pPr>
        <w:jc w:val="both"/>
        <w:rPr>
          <w:rFonts w:ascii="Actor" w:cs="Actor" w:eastAsia="Actor" w:hAnsi="Actor"/>
          <w:sz w:val="26"/>
          <w:szCs w:val="26"/>
        </w:rPr>
      </w:pPr>
      <w:r w:rsidDel="00000000" w:rsidR="00000000" w:rsidRPr="00000000">
        <w:rPr>
          <w:rFonts w:ascii="Actor" w:cs="Actor" w:eastAsia="Actor" w:hAnsi="Actor"/>
          <w:sz w:val="26"/>
          <w:szCs w:val="26"/>
          <w:rtl w:val="0"/>
        </w:rPr>
        <w:t xml:space="preserve"> </w:t>
      </w:r>
    </w:p>
    <w:p w:rsidR="00000000" w:rsidDel="00000000" w:rsidP="00000000" w:rsidRDefault="00000000" w:rsidRPr="00000000" w14:paraId="00000026">
      <w:pPr>
        <w:rPr>
          <w:rFonts w:ascii="Actor" w:cs="Actor" w:eastAsia="Actor" w:hAnsi="Acto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cto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reme.justia.com/cases/federal/us/566/257/" TargetMode="External"/><Relationship Id="rId5" Type="http://schemas.openxmlformats.org/officeDocument/2006/relationships/styles" Target="styles.xml"/><Relationship Id="rId6" Type="http://schemas.openxmlformats.org/officeDocument/2006/relationships/hyperlink" Target="https://abcnews.go.com/US/georgetown-law-professor-terminated-remarks-black-students/story?id=76413267" TargetMode="External"/><Relationship Id="rId7" Type="http://schemas.openxmlformats.org/officeDocument/2006/relationships/hyperlink" Target="https://supreme.justia.com/cases/federal/us/505/833/" TargetMode="External"/><Relationship Id="rId8" Type="http://schemas.openxmlformats.org/officeDocument/2006/relationships/hyperlink" Target="https://www.oyez.org/cases/2021/19-139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cto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