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The Power of the Party</w:t>
      </w:r>
    </w:p>
    <w:p>
      <w:pPr>
        <w:spacing w:after="200"/>
      </w:pPr>
      <w:r>
        <w:rPr>
          <w:rFonts w:ascii="Montserrat" w:cs="Montserrat" w:eastAsia="Montserrat" w:hAnsi="Montserrat"/>
          <w:b/>
          <w:bCs/>
          <w:color w:val="E87722"/>
          <w:sz w:val="24"/>
          <w:szCs w:val="24"/>
        </w:rPr>
        <w:t>Richard H. Pildes, Sudler Family Professor of Constitutional Law, New York University School of Law; Faculty Director, NYU Democracy Project</w:t>
      </w:r>
    </w:p>
    <w:p>
      <w:pPr>
        <w:pStyle w:val="Heading2"/>
        <w:spacing w:after="120" w:before="240"/>
      </w:pPr>
      <w:r>
        <w:rPr>
          <w:b/>
          <w:bCs/>
        </w:rPr>
        <w:t>Overview</w:t>
      </w:r>
    </w:p>
    <w:p>
      <w:pPr>
        <w:spacing w:after="160"/>
      </w:pPr>
      <w:r>
        <w:t>This program examines the legal status and power of political parties in the United States. Professor Pildes explains what parties are as a legal and constitutional matter and why courts treat them sometimes as public and sometimes as private actors; the framers' hostility to parties and the parties' acceptance by the 1830s; the developments that weakened American parties relative to those in other democracies (the direct primary, the end of patronage, and presidential primaries); the constitutional law of party primaries from the white-primary cases through California Democratic Party v. Jones; the all-candidate primary and ranked-choice voting in Alaska; the 2026 nominating contests that illustrate the tension between national party leadership and primary electorates; the law of sham candidates and cross-party spending; campaign finance after Buckley v. Valeo, the rise of super PACs, disclosure, and the Supreme Court's 2026 decision in NRSC v. FEC striking down limits on coordinated party expenditures; and the litigation over mail ballots in the 2026 election, including Watson v. RNC and the Postal Service rule. The program was recorded in the final days before the November 3, 2026 midterm elections.</w:t>
      </w:r>
    </w:p>
    <w:p>
      <w:pPr>
        <w:pStyle w:val="Heading2"/>
        <w:spacing w:after="120" w:before="240"/>
      </w:pPr>
      <w:r>
        <w:rPr>
          <w:b/>
          <w:bCs/>
        </w:rPr>
        <w:t>Learning Objectives</w:t>
      </w:r>
    </w:p>
    <w:p>
      <w:pPr>
        <w:pStyle w:val="ListParagraph"/>
        <w:numPr>
          <w:ilvl w:val="0"/>
          <w:numId w:val="1"/>
        </w:numPr>
        <w:spacing w:after="80"/>
      </w:pPr>
      <w:r>
        <w:t>Describe the legal structure of American political parties and explain why constitutional doctrine treats them as public actors for some purposes and private associations for others.</w:t>
      </w:r>
    </w:p>
    <w:p>
      <w:pPr>
        <w:pStyle w:val="ListParagraph"/>
        <w:numPr>
          <w:ilvl w:val="0"/>
          <w:numId w:val="1"/>
        </w:numPr>
        <w:spacing w:after="80"/>
      </w:pPr>
      <w:r>
        <w:t>Trace the historical developments that reduced party control over nominations and patronage, and compare the American approach to constitutions that protect or regulate parties.</w:t>
      </w:r>
    </w:p>
    <w:p>
      <w:pPr>
        <w:pStyle w:val="ListParagraph"/>
        <w:numPr>
          <w:ilvl w:val="0"/>
          <w:numId w:val="1"/>
        </w:numPr>
        <w:spacing w:after="80"/>
      </w:pPr>
      <w:r>
        <w:t>Summarize the Supreme Court's treatment of party primaries, including Smith v. Allwright, Tashjian, Eu, and California Democratic Party v. Jones, and the constitutional limits on state regulation of party internal affairs.</w:t>
      </w:r>
    </w:p>
    <w:p>
      <w:pPr>
        <w:pStyle w:val="ListParagraph"/>
        <w:numPr>
          <w:ilvl w:val="0"/>
          <w:numId w:val="1"/>
        </w:numPr>
        <w:spacing w:after="80"/>
      </w:pPr>
      <w:r>
        <w:t>Explain the campaign-finance framework governing parties after Buckley v. Valeo and Citizens United, and the holding and practical effect of NRSC v. FEC (2026).</w:t>
      </w:r>
    </w:p>
    <w:p>
      <w:pPr>
        <w:pStyle w:val="ListParagraph"/>
        <w:numPr>
          <w:ilvl w:val="0"/>
          <w:numId w:val="1"/>
        </w:numPr>
        <w:spacing w:after="80"/>
      </w:pPr>
      <w:r>
        <w:t>Identify the legal issues in the administration of the 2026 election, including the holding of Watson v. RNC on late-arriving mail ballots and the status of the Postal Service mail-ballot rule.</w:t>
      </w:r>
    </w:p>
    <w:p>
      <w:pPr>
        <w:pStyle w:val="Heading2"/>
        <w:spacing w:after="120" w:before="240"/>
      </w:pPr>
      <w:r>
        <w:rPr>
          <w:b/>
          <w:bCs/>
        </w:rPr>
        <w:t>What a Political Party Is</w:t>
      </w:r>
    </w:p>
    <w:p>
      <w:pPr>
        <w:pStyle w:val="ListParagraph"/>
        <w:numPr>
          <w:ilvl w:val="0"/>
          <w:numId w:val="1"/>
        </w:numPr>
        <w:spacing w:after="80"/>
      </w:pPr>
      <w:r>
        <w:t>Parties have three dimensions: the enduring organization (the DNC and RNC and their state counterparts, organized as not-for-profit entities), the party in government (officeholders), and the party in the electorate (voters). Membership in the United States typically requires nothing more than checking a box on a voter registration form, in contrast to dues-paying membership common in other democracies.</w:t>
      </w:r>
    </w:p>
    <w:p>
      <w:pPr>
        <w:pStyle w:val="ListParagraph"/>
        <w:numPr>
          <w:ilvl w:val="0"/>
          <w:numId w:val="1"/>
        </w:numPr>
        <w:spacing w:after="80"/>
      </w:pPr>
      <w:r>
        <w:t>Established parties enjoy automatic ballot access, typically by exceeding a threshold (often five percent) in a prior statewide election; new parties and independents must petition.</w:t>
      </w:r>
    </w:p>
    <w:p>
      <w:pPr>
        <w:pStyle w:val="ListParagraph"/>
        <w:numPr>
          <w:ilvl w:val="0"/>
          <w:numId w:val="1"/>
        </w:numPr>
        <w:spacing w:after="80"/>
      </w:pPr>
      <w:r>
        <w:t>Whether a party is a public or private actor is, in Pildes's words, "a hugely complex question in constitutional law." The law wants parties independent of the state, yet they perform public functions in elections and governance. Courts accordingly treat parties as state actors for some purposes (the white-primary cases) and as private associations with First Amendment rights for others (Tashjian, Eu, Jones).</w:t>
      </w:r>
    </w:p>
    <w:p>
      <w:pPr>
        <w:pStyle w:val="ListParagraph"/>
        <w:numPr>
          <w:ilvl w:val="0"/>
          <w:numId w:val="1"/>
        </w:numPr>
        <w:spacing w:after="80"/>
      </w:pPr>
      <w:r>
        <w:t>The Constitution does not mention parties and was designed to discourage them; Madison's Federalist No. 10 treats parties as a form of faction. Parties became accepted as a normal feature of mass democracy by the late 1820s and 1830s, with Martin Van Buren credited as the architect of the national party system and the nominating convention. By contrast, many post-1945 constitutions (Germany, Italy) expressly protect political parties.</w:t>
      </w:r>
    </w:p>
    <w:p>
      <w:pPr>
        <w:pStyle w:val="Heading2"/>
        <w:spacing w:after="120" w:before="240"/>
      </w:pPr>
      <w:r>
        <w:rPr>
          <w:b/>
          <w:bCs/>
        </w:rPr>
        <w:t>How American Parties Lost Power</w:t>
      </w:r>
    </w:p>
    <w:p>
      <w:pPr>
        <w:pStyle w:val="ListParagraph"/>
        <w:numPr>
          <w:ilvl w:val="0"/>
          <w:numId w:val="1"/>
        </w:numPr>
        <w:spacing w:after="80"/>
      </w:pPr>
      <w:r>
        <w:t>Direct primaries (early twentieth century) transferred the choice of nominees from party organizations to voters; parties' state-constitutional challenges on associational grounds failed. Presidential nominations followed in the 1970s with the move from conventions to primaries and caucuses.</w:t>
      </w:r>
    </w:p>
    <w:p>
      <w:pPr>
        <w:pStyle w:val="ListParagraph"/>
        <w:numPr>
          <w:ilvl w:val="0"/>
          <w:numId w:val="1"/>
        </w:numPr>
        <w:spacing w:after="80"/>
      </w:pPr>
      <w:r>
        <w:t>Patronage declined with civil-service reform and was then held unconstitutional for most public employment: Elrod v. Burns, 427 U.S. 347 (1976); Branti v. Finkel, 445 U.S. 507 (1980); Rutan v. Republican Party of Illinois, 497 U.S. 62 (1990).</w:t>
      </w:r>
    </w:p>
    <w:p>
      <w:pPr>
        <w:pStyle w:val="ListParagraph"/>
        <w:numPr>
          <w:ilvl w:val="0"/>
          <w:numId w:val="1"/>
        </w:numPr>
        <w:spacing w:after="80"/>
      </w:pPr>
      <w:r>
        <w:t>Germany's "militant democracy" requires parties to be internally democratic (Basic Law art. 21). The U.S. Supreme Court has held the opposite: states may not dictate parties' internal organization or governance, Eu v. San Francisco County Democratic Central Committee, 489 U.S. 214 (1989).</w:t>
      </w:r>
    </w:p>
    <w:p>
      <w:pPr>
        <w:pStyle w:val="ListParagraph"/>
        <w:numPr>
          <w:ilvl w:val="0"/>
          <w:numId w:val="1"/>
        </w:numPr>
        <w:spacing w:after="80"/>
      </w:pPr>
      <w:r>
        <w:t>Pildes's assessment, consistent with most political science: on balance strong parties make democratic systems work better. They organize the legislative process (435 atomistic House members could not), aggregate broad coalitions rather than single issues, and supply voters with informational cues across the unusually large number of offices Americans elect. The recurring costs are self-interested pursuit of power and, historically, corruption and patronage (Tammany Hall).</w:t>
      </w:r>
    </w:p>
    <w:p>
      <w:pPr>
        <w:pStyle w:val="Heading2"/>
        <w:spacing w:after="120" w:before="240"/>
      </w:pPr>
      <w:r>
        <w:rPr>
          <w:b/>
          <w:bCs/>
        </w:rPr>
        <w:t>Primaries and the Right of Association</w:t>
      </w:r>
    </w:p>
    <w:p>
      <w:pPr>
        <w:pStyle w:val="ListParagraph"/>
        <w:numPr>
          <w:ilvl w:val="0"/>
          <w:numId w:val="1"/>
        </w:numPr>
        <w:spacing w:after="80"/>
      </w:pPr>
      <w:r>
        <w:t>White primaries: beginning with Nixon v. Herndon, 273 U.S. 536 (1927), and culminating in Smith v. Allwright, 321 U.S. 649 (1944), and Terry v. Adams, 345 U.S. 461 (1953), the Court held that a party conducting a primary integral to the election process may not exclude voters on the basis of race.</w:t>
      </w:r>
    </w:p>
    <w:p>
      <w:pPr>
        <w:pStyle w:val="ListParagraph"/>
        <w:numPr>
          <w:ilvl w:val="0"/>
          <w:numId w:val="1"/>
        </w:numPr>
        <w:spacing w:after="80"/>
      </w:pPr>
      <w:r>
        <w:t>Associational rights: Tashjian v. Republican Party of Connecticut, 479 U.S. 208 (1986) (state may not bar a party from opening its primary to independents); Eu (1989) (state may not ban party endorsements in primaries or regulate internal party structure); California Democratic Party v. Jones, 530 U.S. 567 (2000) (blanket primary, in which any voter could vote in any party's primary office by office, violates parties' right to choose their nominees). The Court later upheld Washington's top-two system against a facial challenge in Washington State Grange v. Washington State Republican Party, 552 U.S. 442 (2008).</w:t>
      </w:r>
    </w:p>
    <w:p>
      <w:pPr>
        <w:pStyle w:val="ListParagraph"/>
        <w:numPr>
          <w:ilvl w:val="0"/>
          <w:numId w:val="1"/>
        </w:numPr>
        <w:spacing w:after="80"/>
      </w:pPr>
      <w:r>
        <w:t>The Court has not held that parties may constitutionally refuse a state-mandated primary as the method of nomination; a new party would generally have to comply with state nominating rules, though states vary in how much discretion they leave to parties, particularly for presidential nominations.</w:t>
      </w:r>
    </w:p>
    <w:p>
      <w:pPr>
        <w:pStyle w:val="ListParagraph"/>
        <w:numPr>
          <w:ilvl w:val="0"/>
          <w:numId w:val="1"/>
        </w:numPr>
        <w:spacing w:after="80"/>
      </w:pPr>
      <w:r>
        <w:t>The all-candidate ("unified" or "top-four") primary: Alaska (adopted 2020) sends the top four finishers from a single primary to a ranked-choice general election. Candidates choose their own party label on the ballot, which parties object to. Pildes supports the model because primary turnout is roughly one-third of general-election turnout and primary electorates are unrepresentative; a top-four primary with ranked-choice voting is designed to elect the candidate with the broadest support. Alaska's Ballot Measure 2 (November 3, 2026) would repeal the system; a 2024 repeal measure failed by 737 votes. No other state has adopted the system.</w:t>
      </w:r>
    </w:p>
    <w:p>
      <w:pPr>
        <w:pStyle w:val="ListParagraph"/>
        <w:numPr>
          <w:ilvl w:val="0"/>
          <w:numId w:val="1"/>
        </w:numPr>
        <w:spacing w:after="80"/>
      </w:pPr>
      <w:r>
        <w:t>Sham and same-name candidates: running a candidate to draw votes from an opponent is generally lawful absent false representations to election officials or courts; boards of elections may disqualify sham candidates but often cannot discern them. In Alaska's 2026 Senate race the incumbent, Dan S. Sullivan, and a second candidate, Dan J. Sullivan, both appear on the ballot after the Alaska Supreme Court declined to remove the latter (June 29, 2026); the ballot distinguishes them by middle initial, and ranked-choice voting mitigates confusion.</w:t>
      </w:r>
    </w:p>
    <w:p>
      <w:pPr>
        <w:pStyle w:val="ListParagraph"/>
        <w:numPr>
          <w:ilvl w:val="0"/>
          <w:numId w:val="1"/>
        </w:numPr>
        <w:spacing w:after="80"/>
      </w:pPr>
      <w:r>
        <w:t>Parties may spend to influence the other party's primary, including by advertising for the candidate they regard as weaker, and may contribute to any candidate subject to contribution limits.</w:t>
      </w:r>
    </w:p>
    <w:p>
      <w:pPr>
        <w:pStyle w:val="ListParagraph"/>
        <w:numPr>
          <w:ilvl w:val="0"/>
          <w:numId w:val="1"/>
        </w:numPr>
        <w:spacing w:after="80"/>
      </w:pPr>
      <w:r>
        <w:t>2026 nominating contests discussed: in Maine, Senator Schumer's preferred candidate, former Governor Janet Mills, gained no traction, Graham Platner won the nomination, and he withdrew in July 2026 after allegations surfaced that had not emerged in vetting; in Michigan, Abdul El-Sayed defeated the candidate national leadership regarded as the stronger general-election nominee; in Texas, Attorney General Ken Paxton defeated Senator John Cornyn after President Trump's endorsement, over the preference of Senate Republican leadership. Pildes also recalls the 2010–2012 cycles in which Republican primaries produced unelectable nominees and the national party thereafter intervened more actively.</w:t>
      </w:r>
    </w:p>
    <w:p>
      <w:pPr>
        <w:pStyle w:val="Heading2"/>
        <w:spacing w:after="120" w:before="240"/>
      </w:pPr>
      <w:r>
        <w:rPr>
          <w:b/>
          <w:bCs/>
        </w:rPr>
        <w:t>Money and the Parties</w:t>
      </w:r>
    </w:p>
    <w:p>
      <w:pPr>
        <w:pStyle w:val="ListParagraph"/>
        <w:numPr>
          <w:ilvl w:val="0"/>
          <w:numId w:val="1"/>
        </w:numPr>
        <w:spacing w:after="80"/>
      </w:pPr>
      <w:r>
        <w:t>Buckley v. Valeo, 424 U.S. 1 (1976), upheld limits on contributions but held that limits on independent expenditures violate the First Amendment. Citizens United v. FEC, 558 U.S. 310 (2010), extended the right of independent expenditure to corporations and unions and upheld disclosure requirements (8–1).</w:t>
      </w:r>
    </w:p>
    <w:p>
      <w:pPr>
        <w:pStyle w:val="ListParagraph"/>
        <w:numPr>
          <w:ilvl w:val="0"/>
          <w:numId w:val="1"/>
        </w:numPr>
        <w:spacing w:after="80"/>
      </w:pPr>
      <w:r>
        <w:t>Why spending keeps rising: since 2000, partisan control of the House, the Senate, or the White House has changed in every election but two; narrow margins and perceived high stakes drive spending. Very wealthy individuals now account for a greater share (Elon Musk is reported to have spent nearly half a billion dollars in the 2026 cycle through independent-expenditure vehicles, which face no cap), while online fundraising has simultaneously increased small-donor giving.</w:t>
      </w:r>
    </w:p>
    <w:p>
      <w:pPr>
        <w:pStyle w:val="ListParagraph"/>
        <w:numPr>
          <w:ilvl w:val="0"/>
          <w:numId w:val="1"/>
        </w:numPr>
        <w:spacing w:after="80"/>
      </w:pPr>
      <w:r>
        <w:t>FECA (1971, 1974) and the Bipartisan Campaign Reform Act of 2002 limited what parties could contribute to and spend in coordination with their own candidates; coordinated-expenditure limits were as low as roughly $60,000 for a House race in which a competitive campaign costs $7–8 million. Violations are criminal.</w:t>
      </w:r>
    </w:p>
    <w:p>
      <w:pPr>
        <w:pStyle w:val="ListParagraph"/>
        <w:numPr>
          <w:ilvl w:val="0"/>
          <w:numId w:val="1"/>
        </w:numPr>
        <w:spacing w:after="80"/>
      </w:pPr>
      <w:r>
        <w:t>National Republican Senatorial Committee v. FEC (June 30, 2026): the Court held 6–3 (Kavanaugh, J.) that the coordinated party expenditure limits in 52 U.S.C. § 30116(d) violate the First Amendment, overruling FEC v. Colorado Republican Federal Campaign Committee, 533 U.S. 431 (2001). The anti-circumvention rationale was held insufficient in light of earmarking rules and disclosure. Base limits on direct party contributions to candidates remain in force. Parties have begun spending in coordination with candidates in the 2026 cycle.</w:t>
      </w:r>
    </w:p>
    <w:p>
      <w:pPr>
        <w:pStyle w:val="ListParagraph"/>
        <w:numPr>
          <w:ilvl w:val="0"/>
          <w:numId w:val="1"/>
        </w:numPr>
        <w:spacing w:after="80"/>
      </w:pPr>
      <w:r>
        <w:t>Pildes's assessment: regulation does not remove money from politics; it channels it. Restrictions on parties diverted money to outside groups (now super PACs) that are single-issue, more ideological, and unaccountable to voters. Money flowing through parties is fully disclosed, parties fund challengers as well as incumbents, and voters can punish a party at the polls. NRSC modestly strengthens parties. Disclosure for outside groups would require legislation that Congress has not enacted; the Court has upheld every disclosure requirement it has considered.</w:t>
      </w:r>
    </w:p>
    <w:p>
      <w:pPr>
        <w:pStyle w:val="Heading2"/>
        <w:spacing w:after="120" w:before="240"/>
      </w:pPr>
      <w:r>
        <w:rPr>
          <w:b/>
          <w:bCs/>
        </w:rPr>
        <w:t>Administering the 2026 Election</w:t>
      </w:r>
    </w:p>
    <w:p>
      <w:pPr>
        <w:pStyle w:val="ListParagraph"/>
        <w:numPr>
          <w:ilvl w:val="0"/>
          <w:numId w:val="1"/>
        </w:numPr>
        <w:spacing w:after="80"/>
      </w:pPr>
      <w:r>
        <w:t>Watson v. Republican National Committee (June 29, 2026): the Court held 5–4 (Barrett, J.) that the federal Election Day statutes (2 U.S.C. §§ 1, 7; 3 U.S.C. § 1) do not preclude states from counting mail ballots postmarked by Election Day and received within a state-law grace period (Mississippi's is five business days). Justice Kavanaugh cited Pildes's scholarship at argument in support of the contrary reading of the statute, which Pildes does not share.</w:t>
      </w:r>
    </w:p>
    <w:p>
      <w:pPr>
        <w:pStyle w:val="ListParagraph"/>
        <w:numPr>
          <w:ilvl w:val="0"/>
          <w:numId w:val="1"/>
        </w:numPr>
        <w:spacing w:after="80"/>
      </w:pPr>
      <w:r>
        <w:t>The U.S. Postal Service rule (Aug. 21, 2026) implementing the President's March 2026 executive order, which would have required federal approval of ballot-envelope designs and uploading of voter data before ballots were mailed, was preliminarily enjoined by federal courts in Massachusetts and the District of Columbia and did not take effect for the 2026 election. No state was required to change its mail-ballot rules as a result of federal action.</w:t>
      </w:r>
    </w:p>
    <w:p>
      <w:pPr>
        <w:pStyle w:val="ListParagraph"/>
        <w:numPr>
          <w:ilvl w:val="0"/>
          <w:numId w:val="1"/>
        </w:numPr>
        <w:spacing w:after="80"/>
      </w:pPr>
      <w:r>
        <w:t>Partisan use of mail ballots: before roughly 2000, Republicans used absentee ballots more; as states dropped excuse requirements Democrats came to use them more; after 2020 the divide widened sharply. The data indicate mail voting mostly shifts the mode of participation rather than increasing turnout, so the electoral effect of restricting it is uncertain, though the perception on both sides is that it would matter.</w:t>
      </w:r>
    </w:p>
    <w:p>
      <w:pPr>
        <w:pStyle w:val="ListParagraph"/>
        <w:numPr>
          <w:ilvl w:val="0"/>
          <w:numId w:val="1"/>
        </w:numPr>
        <w:spacing w:after="80"/>
      </w:pPr>
      <w:r>
        <w:t>Pildes's remaining concern before Election Day: the possibility of federal law enforcement seeking to seize ballots or voting equipment on assertions of fraud or non-citizen voting. Warrants, judicial involvement, and evidentiary showings would be required. More broadly, rhetoric about rigged or stolen elections has eroded confidence in a process that, in his assessment, is administered with integrity.</w:t>
      </w:r>
    </w:p>
    <w:p>
      <w:pPr>
        <w:pStyle w:val="Heading2"/>
        <w:spacing w:after="120" w:before="240"/>
      </w:pPr>
      <w:r>
        <w:rPr>
          <w:b/>
          <w:bCs/>
        </w:rPr>
        <w:t>Developments to Know</w:t>
      </w:r>
    </w:p>
    <w:p>
      <w:pPr>
        <w:pStyle w:val="ListParagraph"/>
        <w:numPr>
          <w:ilvl w:val="0"/>
          <w:numId w:val="1"/>
        </w:numPr>
        <w:spacing w:after="80"/>
      </w:pPr>
      <w:r>
        <w:t>The program was recorded shortly before the November 3, 2026 election. Practitioners should check results of Alaska's Ballot Measure 2 (repeal of the top-four primary and ranked-choice voting) and of the Alaska Senate race.</w:t>
      </w:r>
    </w:p>
    <w:p>
      <w:pPr>
        <w:pStyle w:val="ListParagraph"/>
        <w:numPr>
          <w:ilvl w:val="0"/>
          <w:numId w:val="1"/>
        </w:numPr>
        <w:spacing w:after="80"/>
      </w:pPr>
      <w:r>
        <w:t>NRSC v. FEC applies to the federal coordinated-expenditure limits only; state-law limits on party spending require separate analysis. A pending challenge to party use of joint fundraising committees may be affected.</w:t>
      </w:r>
    </w:p>
    <w:p>
      <w:pPr>
        <w:pStyle w:val="ListParagraph"/>
        <w:numPr>
          <w:ilvl w:val="0"/>
          <w:numId w:val="1"/>
        </w:numPr>
        <w:spacing w:after="80"/>
      </w:pPr>
      <w:r>
        <w:t>Legislation to require disclosure by outside spending groups has not advanced in Congress; the Supreme Court has consistently upheld disclosure requirements, most recently in Citizens United.</w:t>
      </w:r>
    </w:p>
    <w:p>
      <w:pPr>
        <w:pStyle w:val="ListParagraph"/>
        <w:numPr>
          <w:ilvl w:val="0"/>
          <w:numId w:val="1"/>
        </w:numPr>
        <w:spacing w:after="80"/>
      </w:pPr>
      <w:r>
        <w:t>Pildes and Nicholas Stephanopoulos are co-authors of an academic article on districting that emphasizes the value of competitive districts; see TalksOnLaw's companion program, Gerrymandering Without Limits, with Professor Stephanopoulos.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