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Gerrymandering Without Limits</w:t>
      </w:r>
    </w:p>
    <w:p>
      <w:r>
        <w:rPr>
          <w:i w:val="0"/>
          <w:color w:val="555555"/>
          <w:sz w:val="22"/>
        </w:rPr>
        <w:t>Nicholas Stephanopoulos, Kirkland &amp; Ellis Professor of Law, Harvard Law School; Director of Strategy, HLS Election Law Clinic</w:t>
      </w:r>
    </w:p>
    <w:p>
      <w:r>
        <w:rPr>
          <w:i/>
          <w:color w:val="777777"/>
          <w:sz w:val="18"/>
        </w:rPr>
        <w:t>TalksOnLaw written materials. Prepared to accompany the recorded program.</w:t>
      </w:r>
    </w:p>
    <w:p>
      <w:pPr>
        <w:pStyle w:val="Heading2"/>
      </w:pPr>
      <w:r>
        <w:t>Overview</w:t>
      </w:r>
    </w:p>
    <w:p>
      <w:r>
        <w:rPr>
          <w:i w:val="0"/>
        </w:rPr>
        <w:t>This program examines the law of partisan and racial gerrymandering in the United States after Rucho v. Common Cause (2019) and Louisiana v. Callais (2026): the mechanics of cracking and packing, the efficiency gap and other measures of partisan bias, the Supreme Court's path from Davis v. Bandemer through Gill v. Whitford to Rucho, the distinction between racial gerrymandering and racial vote dilution, the collapse of the once-a-decade redistricting norm, the remaining checks on legislatures, and the structural reforms under discussion.</w:t>
      </w:r>
    </w:p>
    <w:p>
      <w:pPr>
        <w:pStyle w:val="Heading2"/>
      </w:pPr>
      <w:r>
        <w:t>Learning Objectives</w:t>
      </w:r>
    </w:p>
    <w:p>
      <w:pPr>
        <w:pStyle w:val="ListBullet"/>
      </w:pPr>
      <w:r>
        <w:t>Define cracking and packing, explain how they generate wasted votes, and describe how the efficiency gap converts wasted votes into a single measure of partisan bias.</w:t>
      </w:r>
    </w:p>
    <w:p>
      <w:pPr>
        <w:pStyle w:val="ListBullet"/>
      </w:pPr>
      <w:r>
        <w:t>Trace the Supreme Court's treatment of partisan gerrymandering from Bandemer through Vieth, Gill, and Rucho, and explain the political-question holding of Rucho and the principal arguments of the dissent.</w:t>
      </w:r>
    </w:p>
    <w:p>
      <w:pPr>
        <w:pStyle w:val="ListBullet"/>
      </w:pPr>
      <w:r>
        <w:t>Distinguish the constitutional racial gerrymandering claim from the statutory racial vote dilution claim, and explain why proof of partisan motive defeats the former.</w:t>
      </w:r>
    </w:p>
    <w:p>
      <w:pPr>
        <w:pStyle w:val="ListBullet"/>
      </w:pPr>
      <w:r>
        <w:t>Describe the effect of Louisiana v. Callais on Section 2 of the Voting Rights Act.</w:t>
      </w:r>
    </w:p>
    <w:p>
      <w:pPr>
        <w:pStyle w:val="ListBullet"/>
      </w:pPr>
      <w:r>
        <w:t>Identify the legal constraints, if any, on mid-decade redistricting and on late changes to district maps, including the Purcell principle.</w:t>
      </w:r>
    </w:p>
    <w:p>
      <w:pPr>
        <w:pStyle w:val="ListBullet"/>
      </w:pPr>
      <w:r>
        <w:t>Evaluate proposed reforms, including federal legislation, independent commissions, House expansion, and proportional representation, and the problem of unilateral disarmament by individual states.</w:t>
      </w:r>
    </w:p>
    <w:p>
      <w:pPr>
        <w:pStyle w:val="Heading2"/>
      </w:pPr>
      <w:r>
        <w:t>Mechanics of a Gerrymander</w:t>
      </w:r>
    </w:p>
    <w:p>
      <w:pPr>
        <w:pStyle w:val="ListBullet"/>
      </w:pPr>
      <w:r>
        <w:t>Gerrymandering is drawing districts to enhance the line-drawing party's power and reduce the representation of the targeted party. It has existed as long as single-member districts; the term dates to Governor Elbridge Gerry's 1812 Massachusetts map.</w:t>
      </w:r>
    </w:p>
    <w:p>
      <w:pPr>
        <w:pStyle w:val="ListBullet"/>
      </w:pPr>
      <w:r>
        <w:t>Cracking disperses the opposing party's voters across many districts in which they consistently lose (for example, a series of 60–40 districts). Packing concentrates them in a few districts they win by wasteful margins (80–20 or 90–10). Line drawers combine the two: packing concedes a minimum of seats to the other side in exchange for making the gerrymandering party's seats safer and the map more durable.</w:t>
      </w:r>
    </w:p>
    <w:p>
      <w:pPr>
        <w:pStyle w:val="ListBullet"/>
      </w:pPr>
      <w:r>
        <w:t>Durability depends on stable voter behavior. In an era of sticky partisanship, gerrymanders persist; in an era of large swings, they can be overwhelmed within an election cycle.</w:t>
      </w:r>
    </w:p>
    <w:p>
      <w:pPr>
        <w:pStyle w:val="ListBullet"/>
      </w:pPr>
      <w:r>
        <w:t>Irregular shapes are a tactic, not a requirement. With modern data, effective cracking and packing can be achieved with compact districts.</w:t>
      </w:r>
    </w:p>
    <w:p>
      <w:pPr>
        <w:pStyle w:val="ListBullet"/>
      </w:pPr>
      <w:r>
        <w:t>Efficiency gap (Stephanopoulos &amp; McGhee, 2015): a wasted vote is any vote that does not contribute to electing a candidate, i.e., every vote for a losing candidate and every vote for a winner above 50 percent plus one. Sum each party's wasted votes statewide, subtract, and divide by total votes cast. The result identifies which party benefits from the map's cracking and packing and by how much. The measure does not explain why bias exists; separate analysis is needed to distinguish deliberate line drawing from political geography, and the proposed legal standard treated a showing that the bias reflects the state's natural geography as a complete defense.</w:t>
      </w:r>
    </w:p>
    <w:p>
      <w:pPr>
        <w:pStyle w:val="ListBullet"/>
      </w:pPr>
      <w:r>
        <w:t>Simulation methods: algorithms can now generate thousands or millions of maps satisfying stated criteria. Scholars use them to identify outlier gerrymanders; line drawers can use them to select the most favorable map among many compact, visually unremarkable options.</w:t>
      </w:r>
    </w:p>
    <w:p>
      <w:pPr>
        <w:pStyle w:val="Heading2"/>
      </w:pPr>
      <w:r>
        <w:t>Partisan Gerrymandering in the Federal Courts</w:t>
      </w:r>
    </w:p>
    <w:p>
      <w:pPr>
        <w:pStyle w:val="ListBullet"/>
      </w:pPr>
      <w:r>
        <w:t>Davis v. Bandemer, 478 U.S. 109 (1986): partisan gerrymandering claims are justiciable under the Equal Protection Clause; the plurality's standard governed litigation until 2004.</w:t>
      </w:r>
    </w:p>
    <w:p>
      <w:pPr>
        <w:pStyle w:val="ListBullet"/>
      </w:pPr>
      <w:r>
        <w:t>Vieth v. Jubelirer, 541 U.S. 267 (2004): five justices rejected the Bandemer standard and every alternative proposed; Justice Kennedy's concurrence declined to hold the claim non-justiciable and expressed interest in quantitative measures of partisan fairness. The resulting vacuum required every plaintiff to propose and defend a new standard.</w:t>
      </w:r>
    </w:p>
    <w:p>
      <w:pPr>
        <w:pStyle w:val="ListBullet"/>
      </w:pPr>
      <w:r>
        <w:t>Gill v. Whitford, 585 U.S. 48 (2018): challenge to Wisconsin's 2011 Assembly map (Act 43) built on the efficiency gap and a three-part test (discriminatory intent, large and durable effect, no legitimate justification). The three-judge court struck the map in 2016, the first such ruling since Bandemer. The Supreme Court unanimously vacated for lack of standing, holding the injury is district-specific, and remanded; Justice Kagan's concurrence outlined how statewide evidence could support district-level and First Amendment associational claims. Justice Kennedy retired nine days later.</w:t>
      </w:r>
    </w:p>
    <w:p>
      <w:pPr>
        <w:pStyle w:val="ListBullet"/>
      </w:pPr>
      <w:r>
        <w:t>Rucho v. Common Cause, 588 U.S. 684 (2019) (5–4): North Carolina's congressional map (drawn 10–3 because, in a legislator's words, an 11–2 map was not possible) and Maryland's Democratic map. The Court held partisan gerrymandering claims present non-justiciable political questions: severe gerrymandering is unconstitutional, but no judicially manageable standard distinguishes permissible from impermissible maps, and relief lies with state courts, state constitutions, and Congress.</w:t>
      </w:r>
    </w:p>
    <w:p>
      <w:pPr>
        <w:pStyle w:val="ListBullet"/>
      </w:pPr>
      <w:r>
        <w:t>Critique developed in the program: 'redistricting exceptionalism.' The law tolerates imprecise standards everywhere else; in the one-person, one-vote cases the Court announced a rule (Reynolds v. Sims, 377 U.S. 533 (1964)) and refined the numerical threshold over a decade of litigation rather than declining jurisdiction.</w:t>
      </w:r>
    </w:p>
    <w:p>
      <w:pPr>
        <w:pStyle w:val="ListBullet"/>
      </w:pPr>
      <w:r>
        <w:t>Kagan dissent: the majority recites the North Carolina facts and never returns to them; workable standards existed and had been applied by lower courts; the dissent is a leading modern statement of political process theory (John Hart Ely, Democracy and Distrust (1980)), under which courts intervene where incumbents have no incentive to repair a malfunction they created.</w:t>
      </w:r>
    </w:p>
    <w:p>
      <w:pPr>
        <w:pStyle w:val="ListBullet"/>
      </w:pPr>
      <w:r>
        <w:t>Litigation strategy, in retrospect: every element of the Whitford test was tailored to Justice Kennedy's stated views (intent requirement, tolerance for ordinary partisan districting, First Amendment framing). The shift from Kennedy to Chief Justice Roberts as the Court's median vote decided Rucho.</w:t>
      </w:r>
    </w:p>
    <w:p>
      <w:pPr>
        <w:pStyle w:val="Heading2"/>
      </w:pPr>
      <w:r>
        <w:t>Race and Redistricting</w:t>
      </w:r>
    </w:p>
    <w:p>
      <w:pPr>
        <w:pStyle w:val="ListBullet"/>
      </w:pPr>
      <w:r>
        <w:t>Two distinct theories. Racial vote dilution (Section 2 of the Voting Rights Act; Thornburg v. Gingles, 478 U.S. 30 (1986)) addresses diminished electoral opportunity for minority voters and is the true analog to partisan gerrymandering; classic example, cracking a cohesive Black community across several districts in a racially polarized state. Racial gerrymandering (Shaw v. Reno, 509 U.S. 630 (1993); Miller v. Johnson, 515 U.S. 900 (1995)) is a Fourteenth Amendment colorblindness claim against drawing a district with race as the predominant factor, regardless of effect on any group's representation.</w:t>
      </w:r>
    </w:p>
    <w:p>
      <w:pPr>
        <w:pStyle w:val="ListBullet"/>
      </w:pPr>
      <w:r>
        <w:t>Racial gerrymandering originated in the 1990s as a limit on remedies for vote dilution; it is conservative in origin, while vote dilution is a 1960s representational theory.</w:t>
      </w:r>
    </w:p>
    <w:p>
      <w:pPr>
        <w:pStyle w:val="ListBullet"/>
      </w:pPr>
      <w:r>
        <w:t>Current doctrine makes both claims difficult. Because racial gerrymandering turns on predominant purpose, proof that party rather than race drove the map is a complete defense (Cooper v. Harris, 581 U.S. 285 (2017); Alexander v. South Carolina State Conference of the NAACP, 602 U.S. 1 (2024), presuming legislative good faith and requiring plaintiffs to disentangle race from politics). Using race as a proxy for party remains unlawful, but line drawers with precinct-level election returns have no need for racial data, which is a worse predictor of voting behavior.</w:t>
      </w:r>
    </w:p>
    <w:p>
      <w:pPr>
        <w:pStyle w:val="ListBullet"/>
      </w:pPr>
      <w:r>
        <w:t>Consequence: the racial gerrymandering claim is of essentially no use against partisan gerrymanders, while jurisdictions that voluntarily draw districts to represent minority voters face liability that a purely partisan map does not.</w:t>
      </w:r>
    </w:p>
    <w:p>
      <w:pPr>
        <w:pStyle w:val="ListBullet"/>
      </w:pPr>
      <w:r>
        <w:t>Allen v. Milligan, 599 U.S. 1 (2023) (5–4): Section 2 reaffirmed; Alabama required to draw a second Black-opportunity district.</w:t>
      </w:r>
    </w:p>
    <w:p>
      <w:pPr>
        <w:pStyle w:val="ListBullet"/>
      </w:pPr>
      <w:r>
        <w:t>Louisiana v. Callais (2026): plaintiffs' demonstration districts must not only improve minority opportunity but also satisfy the jurisdiction's legitimate non-racial objectives, including partisan advantage. Because any jurisdiction can identify a political goal incompatible with an additional minority-opportunity district, the program's assessment is that Section 2 vote-dilution liability is effectively over, with the 2030 cycle likely to produce the least minority representation in decades.</w:t>
      </w:r>
    </w:p>
    <w:p>
      <w:pPr>
        <w:pStyle w:val="Heading2"/>
      </w:pPr>
      <w:r>
        <w:t>Mid-Decade Redistricting and Timing</w:t>
      </w:r>
    </w:p>
    <w:p>
      <w:pPr>
        <w:pStyle w:val="ListBullet"/>
      </w:pPr>
      <w:r>
        <w:t>The federal Constitution does not limit the frequency of redistricting (League of United Latin American Citizens v. Perry, 548 U.S. 399 (2006), upholding Texas's 2003 mid-decade map). Most state constitutions are also silent; some (e.g., Colorado, Wisconsin) bar mid-decade redistricting and those provisions held.</w:t>
      </w:r>
    </w:p>
    <w:p>
      <w:pPr>
        <w:pStyle w:val="ListBullet"/>
      </w:pPr>
      <w:r>
        <w:t>2025–26: at the President's urging, roughly seven or eight Republican-controlled states redrew congressional maps mid-decade, the first such wave in more than a century; California responded with an aggressive Democratic map that offset several of them.</w:t>
      </w:r>
    </w:p>
    <w:p>
      <w:pPr>
        <w:pStyle w:val="ListBullet"/>
      </w:pPr>
      <w:r>
        <w:t>Purcell v. Gonzalez, 549 U.S. 1 (2006): federal courts should not alter election rules close to an election. The principle does not bind state courts, legislatures, or governors; the Missouri Supreme Court changed the state's congressional map in September 2026, after the primary.</w:t>
      </w:r>
    </w:p>
    <w:p>
      <w:pPr>
        <w:pStyle w:val="ListBullet"/>
      </w:pPr>
      <w:r>
        <w:t>Other checks: gubernatorial veto, referendum (Missouri, Virginia), voter initiative (California, 2008 and 2010), and state constitutional litigation (Moore v. Harper, 600 U.S. 1 (2023), rejecting the independent state legislature theory). None is uniform, and all are vulnerable to the unilateral-disarmament problem described below.</w:t>
      </w:r>
    </w:p>
    <w:p>
      <w:pPr>
        <w:pStyle w:val="Heading2"/>
      </w:pPr>
      <w:r>
        <w:t>Reform</w:t>
      </w:r>
    </w:p>
    <w:p>
      <w:pPr>
        <w:pStyle w:val="ListBullet"/>
      </w:pPr>
      <w:r>
        <w:t>Unilateral disarmament: state-level congressional reforms (commissions, fairness criteria) that bind only some states produce a less fair House in aggregate, as in 2012, when Democrats won the national House vote and Republicans held a 33-seat majority. State legislative reform is unaffected by this problem and remains worthwhile.</w:t>
      </w:r>
    </w:p>
    <w:p>
      <w:pPr>
        <w:pStyle w:val="ListBullet"/>
      </w:pPr>
      <w:r>
        <w:t>Federal options: Congress has clear authority over congressional districting (U.S. Const. art. I, § 4). Proposals include mandatory independent commissions (the Australian model, where redistricting is a technocratic exercise with measurably more competitive and responsive outcomes), statutory partisan-fairness limits such as an efficiency-gap ceiling (Freedom to Vote Act, S. 2747, 117th Cong.), and a ban on mid-decade redistricting.</w:t>
      </w:r>
    </w:p>
    <w:p>
      <w:pPr>
        <w:pStyle w:val="ListBullet"/>
      </w:pPr>
      <w:r>
        <w:t>Political conditions: for the first time, a major party's dominant position favors federal anti-gerrymandering legislation; previous Democratic trifectas (1965, 1977, 1993) had no such commitment. Reform would require Democrats to accept more Republican seats in California and Illinois.</w:t>
      </w:r>
    </w:p>
    <w:p>
      <w:pPr>
        <w:pStyle w:val="ListBullet"/>
      </w:pPr>
      <w:r>
        <w:t>House expansion: the House has been fixed at 435 since the Permanent Apportionment Act of 1929. Under the cube-root rule of legislature size, the United States is the largest outlier in the world; a House of roughly 650 would be consistent with comparable democracies. Expansion could be paired with reform to avoid displacing incumbents and would reduce district populations from about 750,000.</w:t>
      </w:r>
    </w:p>
    <w:p>
      <w:pPr>
        <w:pStyle w:val="ListBullet"/>
      </w:pPr>
      <w:r>
        <w:t>Proportional representation: any proportional system eliminates systematic divergence between vote share and seat share, which is the essence of gerrymandering, including divergence that arises unintentionally under single-member, winner-take-all districts. It would require repeal of the single-member district mandate, 2 U.S.C. § 2c (1967).</w:t>
      </w:r>
    </w:p>
    <w:p>
      <w:pPr>
        <w:pStyle w:val="ListBullet"/>
      </w:pPr>
      <w:r>
        <w:t>'Redistricting Without Tradeoffs': simulation evidence that compactness, competitiveness, partisan fairness, and respect for political subdivisions are largely uncorrelated, so a good map can satisfy all of them, and a bad map can look compact and conventional while being durably unfair.</w:t>
      </w:r>
    </w:p>
    <w:p>
      <w:pPr>
        <w:pStyle w:val="Heading2"/>
      </w:pPr>
      <w:r>
        <w:t>Developments to Know</w:t>
      </w:r>
    </w:p>
    <w:p>
      <w:pPr>
        <w:pStyle w:val="ListBullet"/>
      </w:pPr>
      <w:r>
        <w:t>Rucho v. Common Cause (2019): partisan gerrymandering claims non-justiciable in federal court.</w:t>
      </w:r>
    </w:p>
    <w:p>
      <w:pPr>
        <w:pStyle w:val="ListBullet"/>
      </w:pPr>
      <w:r>
        <w:t>Allen v. Milligan (2023): Section 2 reaffirmed; Alexander v. SC NAACP (2024): presumption of good faith in race-versus-party disputes.</w:t>
      </w:r>
    </w:p>
    <w:p>
      <w:pPr>
        <w:pStyle w:val="ListBullet"/>
      </w:pPr>
      <w:r>
        <w:t>Louisiana v. Callais (2026): demonstration maps must satisfy the state's partisan goals; Section 2 vote-dilution claims effectively foreclosed.</w:t>
      </w:r>
    </w:p>
    <w:p>
      <w:pPr>
        <w:pStyle w:val="ListBullet"/>
      </w:pPr>
      <w:r>
        <w:t>2025–26 mid-decade redistricting wave: seven to eight Republican states and California; new congressional maps in roughly nine states for the 2026 midterms.</w:t>
      </w:r>
    </w:p>
    <w:p>
      <w:pPr>
        <w:pStyle w:val="ListBullet"/>
      </w:pPr>
      <w:r>
        <w:t>Moore v. Harper (2023): state courts retain authority over congressional maps under state constitutions; Purcell does not bind them.</w:t>
      </w:r>
    </w:p>
    <w:p>
      <w:pPr>
        <w:pStyle w:val="ListBullet"/>
      </w:pPr>
      <w:r>
        <w:t>Pending reform proposals: federal partisan-gerrymandering ban, mid-decade redistricting ban, House expansion, proportional representation.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Open Sans" w:hAnsi="Ope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ontserrat" w:hAnsi="Montserrat"/>
      <w:b/>
      <w:bCs/>
      <w:color w:val="22222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ontserrat" w:hAnsi="Montserrat"/>
      <w:b/>
      <w:bCs/>
      <w:color w:val="2222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Open Sans" w:hAnsi="Open San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