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Class, Not Race – Diversity after SFFA</w:t>
      </w:r>
    </w:p>
    <w:p>
      <w:pPr>
        <w:spacing w:after="200"/>
      </w:pPr>
      <w:r>
        <w:rPr>
          <w:rFonts w:ascii="Montserrat" w:cs="Montserrat" w:eastAsia="Montserrat" w:hAnsi="Montserrat"/>
          <w:b/>
          <w:bCs/>
          <w:color w:val="E87722"/>
          <w:sz w:val="24"/>
          <w:szCs w:val="24"/>
        </w:rPr>
        <w:t>Richard D. Kahlenberg, Director of Housing Policy and the American Identity Project, Progressive Policy Institute; Professorial Lecturer, George Washington University; Author, Class Matters (2025)</w:t>
      </w:r>
    </w:p>
    <w:p>
      <w:pPr>
        <w:pStyle w:val="Heading2"/>
        <w:spacing w:after="120" w:before="240"/>
      </w:pPr>
      <w:r>
        <w:rPr>
          <w:b/>
          <w:bCs/>
        </w:rPr>
        <w:t>Overview</w:t>
      </w:r>
    </w:p>
    <w:p>
      <w:pPr>
        <w:spacing w:after="160"/>
      </w:pPr>
      <w:r>
        <w:t>This program examines the law of college admissions after Students for Fair Admissions v. Harvard and v. University of North Carolina (2023) and the shift from race-conscious to class-based affirmative action. Richard Kahlenberg, who testified as an expert for the plaintiffs, explains the holding and what it still permits, including consideration of an applicant's individual experience of discrimination; the evidence in the Harvard and UNC trials on the weight given to race, the penalty borne by Asian American applicants, and preferences for legacy, faculty, and donor-connected applicants; the social-science record on race and class as predictors of opportunity; the design of socioeconomic preferences using income, wealth, and neighborhood poverty; the "proxy discrimination" challenges to class-based plans, including Coalition for TJ v. Fairfax County School Board and Boston Parent Coalition v. Boston School Committee; analogues in government contracting and employment; the different standards of review for race, sex, and economic classifications; and legacy preferences. The program updates the discussion with state legacy-preference bans, the 2025 presidential memorandum on admissions data reporting and the resulting litigation, the Justice Department's 2026 suit against Harvard, and early enrollment data.</w:t>
      </w:r>
    </w:p>
    <w:p>
      <w:pPr>
        <w:pStyle w:val="Heading2"/>
        <w:spacing w:after="120" w:before="240"/>
      </w:pPr>
      <w:r>
        <w:rPr>
          <w:b/>
          <w:bCs/>
        </w:rPr>
        <w:t>Learning Objectives</w:t>
      </w:r>
    </w:p>
    <w:p>
      <w:pPr>
        <w:pStyle w:val="ListParagraph"/>
        <w:numPr>
          <w:ilvl w:val="0"/>
          <w:numId w:val="1"/>
        </w:numPr>
        <w:spacing w:after="80"/>
      </w:pPr>
      <w:r>
        <w:t>Explain the holding of Students for Fair Admissions and the circumstances in which an applicant's experience of race may still be considered.</w:t>
      </w:r>
    </w:p>
    <w:p>
      <w:pPr>
        <w:pStyle w:val="ListParagraph"/>
        <w:numPr>
          <w:ilvl w:val="0"/>
          <w:numId w:val="1"/>
        </w:numPr>
        <w:spacing w:after="80"/>
      </w:pPr>
      <w:r>
        <w:t>Summarize the trial evidence in the Harvard and UNC cases regarding racial preferences, the "personal" rating of Asian American applicants, and preferences for legacy, faculty, and donor-connected applicants.</w:t>
      </w:r>
    </w:p>
    <w:p>
      <w:pPr>
        <w:pStyle w:val="ListParagraph"/>
        <w:numPr>
          <w:ilvl w:val="0"/>
          <w:numId w:val="1"/>
        </w:numPr>
        <w:spacing w:after="80"/>
      </w:pPr>
      <w:r>
        <w:t>Describe the design of class-based admissions preferences using income, wealth, and neighborhood poverty and the data on their effects on racial diversity.</w:t>
      </w:r>
    </w:p>
    <w:p>
      <w:pPr>
        <w:pStyle w:val="ListParagraph"/>
        <w:numPr>
          <w:ilvl w:val="0"/>
          <w:numId w:val="1"/>
        </w:numPr>
        <w:spacing w:after="80"/>
      </w:pPr>
      <w:r>
        <w:t>Analyze the "proxy discrimination" theory under the Equal Protection Clause and Title VI and the current state of the law after Coalition for TJ and Boston Parent Coalition.</w:t>
      </w:r>
    </w:p>
    <w:p>
      <w:pPr>
        <w:pStyle w:val="ListParagraph"/>
        <w:numPr>
          <w:ilvl w:val="0"/>
          <w:numId w:val="1"/>
        </w:numPr>
        <w:spacing w:after="80"/>
      </w:pPr>
      <w:r>
        <w:t>Identify developments since 2023 affecting admissions practice, including state legacy bans, federal data-reporting requirements, and pending litigation.</w:t>
      </w:r>
    </w:p>
    <w:p>
      <w:pPr>
        <w:pStyle w:val="Heading2"/>
        <w:spacing w:after="120" w:before="240"/>
      </w:pPr>
      <w:r>
        <w:rPr>
          <w:b/>
          <w:bCs/>
        </w:rPr>
        <w:t>The SFFA Decision</w:t>
      </w:r>
    </w:p>
    <w:p>
      <w:pPr>
        <w:pStyle w:val="ListParagraph"/>
        <w:numPr>
          <w:ilvl w:val="0"/>
          <w:numId w:val="1"/>
        </w:numPr>
        <w:spacing w:after="80"/>
      </w:pPr>
      <w:r>
        <w:t>Students for Fair Admissions v. President &amp; Fellows of Harvard College, 600 U.S. 181 (2023), held that Harvard's and UNC's race-conscious admissions programs violated the Equal Protection Clause (UNC) and Title VI (Harvard) because their diversity interests were not measurable for strict-scrutiny purposes, race was used as a negative and a stereotype, and the programs lacked a logical end point.</w:t>
      </w:r>
    </w:p>
    <w:p>
      <w:pPr>
        <w:pStyle w:val="ListParagraph"/>
        <w:numPr>
          <w:ilvl w:val="0"/>
          <w:numId w:val="1"/>
        </w:numPr>
        <w:spacing w:after="80"/>
      </w:pPr>
      <w:r>
        <w:t>The Court stated that nothing prohibits universities from considering an applicant's discussion of how race affected his or her life, "so long as that discussion is concretely tied to a quality of character or unique ability"; universities may not use essays to reinstate the regime the decision invalidated.</w:t>
      </w:r>
    </w:p>
    <w:p>
      <w:pPr>
        <w:pStyle w:val="ListParagraph"/>
        <w:numPr>
          <w:ilvl w:val="0"/>
          <w:numId w:val="1"/>
        </w:numPr>
        <w:spacing w:after="80"/>
      </w:pPr>
      <w:r>
        <w:t>The decision does not require any institution to pursue diversity; it constrains the means. Race-neutral alternatives, including socioeconomic preferences, percentage plans, and elimination of legacy preferences, were the subject of expert testimony at both trials.</w:t>
      </w:r>
    </w:p>
    <w:p>
      <w:pPr>
        <w:pStyle w:val="Heading2"/>
        <w:spacing w:after="120" w:before="240"/>
      </w:pPr>
      <w:r>
        <w:rPr>
          <w:b/>
          <w:bCs/>
        </w:rPr>
        <w:t>Evidence from the Harvard and UNC Trials</w:t>
      </w:r>
    </w:p>
    <w:p>
      <w:pPr>
        <w:pStyle w:val="ListParagraph"/>
        <w:numPr>
          <w:ilvl w:val="0"/>
          <w:numId w:val="1"/>
        </w:numPr>
        <w:spacing w:after="80"/>
      </w:pPr>
      <w:r>
        <w:t>Harvard's internal Office of Institutional Research found a negative association between Asian American identity and the "personal" rating; plaintiffs' expert analysis found Asian American applicants received lower personal ratings than comparably situated white applicants. The district court credited Harvard's explanation; the Supreme Court did not reach the intentional-discrimination claim.</w:t>
      </w:r>
    </w:p>
    <w:p>
      <w:pPr>
        <w:pStyle w:val="ListParagraph"/>
        <w:numPr>
          <w:ilvl w:val="0"/>
          <w:numId w:val="1"/>
        </w:numPr>
        <w:spacing w:after="80"/>
      </w:pPr>
      <w:r>
        <w:t>Simulations presented by plaintiffs' expert showed that eliminating racial preferences and legacy, faculty-child, and athletic preferences while adding a socioeconomic boost would reduce the share of African American admits from approximately 14 to 10 percent while increasing Hispanic, Asian American, and low-income representation; wealth data were unavailable in the simulations.</w:t>
      </w:r>
    </w:p>
    <w:p>
      <w:pPr>
        <w:pStyle w:val="ListParagraph"/>
        <w:numPr>
          <w:ilvl w:val="0"/>
          <w:numId w:val="1"/>
        </w:numPr>
        <w:spacing w:after="80"/>
      </w:pPr>
      <w:r>
        <w:t>Trial exhibits documented a Harvard "dean's interest list" and ratings of applicants' families' capacity to donate, and UNC communications discussing race and scholarships in explicit terms.</w:t>
      </w:r>
    </w:p>
    <w:p>
      <w:pPr>
        <w:pStyle w:val="ListParagraph"/>
        <w:numPr>
          <w:ilvl w:val="0"/>
          <w:numId w:val="1"/>
        </w:numPr>
        <w:spacing w:after="80"/>
      </w:pPr>
      <w:r>
        <w:t>Harvard classified applicants from roughly the bottom two-thirds of the national income distribution as "disadvantaged"; at the time of litigation, Harvard enrolled about 22 times as many students from the top income quintile as from the bottom quintile (Chetty et al.).</w:t>
      </w:r>
    </w:p>
    <w:p>
      <w:pPr>
        <w:pStyle w:val="Heading2"/>
        <w:spacing w:after="120" w:before="240"/>
      </w:pPr>
      <w:r>
        <w:rPr>
          <w:b/>
          <w:bCs/>
        </w:rPr>
        <w:t>Race, Class, and Opportunity</w:t>
      </w:r>
    </w:p>
    <w:p>
      <w:pPr>
        <w:pStyle w:val="ListParagraph"/>
        <w:numPr>
          <w:ilvl w:val="0"/>
          <w:numId w:val="1"/>
        </w:numPr>
        <w:spacing w:after="80"/>
      </w:pPr>
      <w:r>
        <w:t>Reardon (Stanford) finds the income-based achievement gap, once about half the size of the Black-white gap, is now roughly twice as large. Black-white residential segregation has declined about 30 percent since the Fair Housing Act of 1968, while income segregation has roughly doubled.</w:t>
      </w:r>
    </w:p>
    <w:p>
      <w:pPr>
        <w:pStyle w:val="ListParagraph"/>
        <w:numPr>
          <w:ilvl w:val="0"/>
          <w:numId w:val="1"/>
        </w:numPr>
        <w:spacing w:after="80"/>
      </w:pPr>
      <w:r>
        <w:t>Pew Research Center (2022–23): about 74 percent of Americans say race should not be a factor in admissions, including majorities of Black and Hispanic respondents; support for considering economic disadvantage runs about two to one. California voters rejected racial preferences in 1996 (Proposition 209) and again in 2020 (Proposition 16, defeated by about 14 points).</w:t>
      </w:r>
    </w:p>
    <w:p>
      <w:pPr>
        <w:pStyle w:val="ListParagraph"/>
        <w:numPr>
          <w:ilvl w:val="0"/>
          <w:numId w:val="1"/>
        </w:numPr>
        <w:spacing w:after="80"/>
      </w:pPr>
      <w:r>
        <w:t>Designing a socioeconomic preference: family income alone produces limited racial diversity; adding family wealth (relevant to the legacy of slavery, segregation, and redlining) and neighborhood poverty (low-income Black students are far more likely to live in high-poverty neighborhoods than low-income white students) produces substantially more. FAFSA and CSS Profile data already capture income and assets for aid applicants.</w:t>
      </w:r>
    </w:p>
    <w:p>
      <w:pPr>
        <w:pStyle w:val="ListParagraph"/>
        <w:numPr>
          <w:ilvl w:val="0"/>
          <w:numId w:val="1"/>
        </w:numPr>
        <w:spacing w:after="80"/>
      </w:pPr>
      <w:r>
        <w:t>Historical antecedents: Martin Luther King Jr., Why We Can't Wait (1964) ("Bill of Rights for the Disadvantaged"); Justice Douglas's dissent in DeFunis v. Odegaard, 416 U.S. 312 (1974).</w:t>
      </w:r>
    </w:p>
    <w:p>
      <w:pPr>
        <w:pStyle w:val="Heading2"/>
        <w:spacing w:after="120" w:before="240"/>
      </w:pPr>
      <w:r>
        <w:rPr>
          <w:b/>
          <w:bCs/>
        </w:rPr>
        <w:t>The Proxy-Discrimination Challenge</w:t>
      </w:r>
    </w:p>
    <w:p>
      <w:pPr>
        <w:pStyle w:val="ListParagraph"/>
        <w:numPr>
          <w:ilvl w:val="0"/>
          <w:numId w:val="1"/>
        </w:numPr>
        <w:spacing w:after="80"/>
      </w:pPr>
      <w:r>
        <w:t>Coalition for TJ v. Fairfax County School Board, 68 F.4th 864 (4th Cir. 2023): upheld Thomas Jefferson High School's race-neutral admissions plan (guaranteed seats by middle school plus socioeconomic "experience factors") against a claim of intentional discrimination against Asian American applicants; certiorari denied, 601 U.S. ___ (Feb. 20, 2024), with Justice Alito, joined by Justice Thomas, dissenting.</w:t>
      </w:r>
    </w:p>
    <w:p>
      <w:pPr>
        <w:pStyle w:val="ListParagraph"/>
        <w:numPr>
          <w:ilvl w:val="0"/>
          <w:numId w:val="1"/>
        </w:numPr>
        <w:spacing w:after="80"/>
      </w:pPr>
      <w:r>
        <w:t>Boston Parent Coalition for Academic Excellence v. School Committee of Boston, 89 F.4th 46 (1st Cir. 2023): upheld a ZIP-code-based exam-school plan; certiorari denied (Dec. 9, 2024), Justice Alito dissenting, Justice Gorsuch concurring in the denial on mootness grounds while questioning the First Circuit's reasoning.</w:t>
      </w:r>
    </w:p>
    <w:p>
      <w:pPr>
        <w:pStyle w:val="ListParagraph"/>
        <w:numPr>
          <w:ilvl w:val="0"/>
          <w:numId w:val="1"/>
        </w:numPr>
        <w:spacing w:after="80"/>
      </w:pPr>
      <w:r>
        <w:t>Under Village of Arlington Heights v. Metropolitan Housing Development Corp., 429 U.S. 252 (1977), a facially neutral policy violates equal protection only if adopted with discriminatory purpose and has a disparate impact; awareness that a policy will affect racial groups differently is not, by itself, discriminatory purpose. Pers. Adm'r of Mass. v. Feeney, 442 U.S. 256 (1979).</w:t>
      </w:r>
    </w:p>
    <w:p>
      <w:pPr>
        <w:pStyle w:val="ListParagraph"/>
        <w:numPr>
          <w:ilvl w:val="0"/>
          <w:numId w:val="1"/>
        </w:numPr>
        <w:spacing w:after="80"/>
      </w:pPr>
      <w:r>
        <w:t>Students Against Racial Discrimination v. Regents of the University of California (C.D. Cal., filed Feb. 2025) alleges that UC's race-neutral admissions operate as covert racial preferences; pending.</w:t>
      </w:r>
    </w:p>
    <w:p>
      <w:pPr>
        <w:pStyle w:val="ListParagraph"/>
        <w:numPr>
          <w:ilvl w:val="0"/>
          <w:numId w:val="1"/>
        </w:numPr>
        <w:spacing w:after="80"/>
      </w:pPr>
      <w:r>
        <w:t>Distinguishing true proxies: preferences defined by descent from enslaved persons, or essay prompts that function as racial classifications, present materially different questions from socioeconomic preferences whose beneficiaries include students of every race.</w:t>
      </w:r>
    </w:p>
    <w:p>
      <w:pPr>
        <w:pStyle w:val="Heading2"/>
        <w:spacing w:after="120" w:before="240"/>
      </w:pPr>
      <w:r>
        <w:rPr>
          <w:b/>
          <w:bCs/>
        </w:rPr>
        <w:t>Standards of Review and Other Contexts</w:t>
      </w:r>
    </w:p>
    <w:p>
      <w:pPr>
        <w:pStyle w:val="ListParagraph"/>
        <w:numPr>
          <w:ilvl w:val="0"/>
          <w:numId w:val="1"/>
        </w:numPr>
        <w:spacing w:after="80"/>
      </w:pPr>
      <w:r>
        <w:t>Racial classifications receive strict scrutiny; sex classifications intermediate scrutiny (United States v. Virginia, 518 U.S. 515 (1996)); economic classifications rational-basis review. In practice, many coeducational institutions apply a de facto preference for men to maintain gender balance, as women are a majority of applicants and admits.</w:t>
      </w:r>
    </w:p>
    <w:p>
      <w:pPr>
        <w:pStyle w:val="ListParagraph"/>
        <w:numPr>
          <w:ilvl w:val="0"/>
          <w:numId w:val="1"/>
        </w:numPr>
        <w:spacing w:after="80"/>
      </w:pPr>
      <w:r>
        <w:t>Government contracting: race-conscious set-asides are subject to strict scrutiny under Adarand Constructors v. Peña, 515 U.S. 200 (1995); in 2025 federal agencies moved away from race-based presumptions of disadvantage toward individualized showings of economic disadvantage or personal experience of discrimination (e.g., the Department of Transportation's DBE program following Mid-America Milling Co. v. DOT (E.D. Ky. 2024)). New York City shifted its contracting program toward economic criteria.</w:t>
      </w:r>
    </w:p>
    <w:p>
      <w:pPr>
        <w:pStyle w:val="ListParagraph"/>
        <w:numPr>
          <w:ilvl w:val="0"/>
          <w:numId w:val="1"/>
        </w:numPr>
        <w:spacing w:after="80"/>
      </w:pPr>
      <w:r>
        <w:t>Employment: Title VII restricts race-conscious hiring and promotion; socioeconomic considerations are most defensible in entry-level hiring, where an applicant's background bears most directly on opportunity.</w:t>
      </w:r>
    </w:p>
    <w:p>
      <w:pPr>
        <w:pStyle w:val="Heading2"/>
        <w:spacing w:after="120" w:before="240"/>
      </w:pPr>
      <w:r>
        <w:rPr>
          <w:b/>
          <w:bCs/>
        </w:rPr>
        <w:t>Legacy and Donor Preferences</w:t>
      </w:r>
    </w:p>
    <w:p>
      <w:pPr>
        <w:pStyle w:val="ListParagraph"/>
        <w:numPr>
          <w:ilvl w:val="0"/>
          <w:numId w:val="1"/>
        </w:numPr>
        <w:spacing w:after="80"/>
      </w:pPr>
      <w:r>
        <w:t>Legacy preferences benefit disproportionately white and wealthy applicants; the share of selective institutions using them has roughly halved in a decade, though all eight Ivy League institutions retained them as of 2025.</w:t>
      </w:r>
    </w:p>
    <w:p>
      <w:pPr>
        <w:pStyle w:val="ListParagraph"/>
        <w:numPr>
          <w:ilvl w:val="0"/>
          <w:numId w:val="1"/>
        </w:numPr>
        <w:spacing w:after="80"/>
      </w:pPr>
      <w:r>
        <w:t>State bans: Colorado (2021, public), Virginia (2024, public), Illinois (2024, public), Maryland (2024, any institution receiving state funds), California (AB 1780, 2024, public and private nonprofit, effective Sept. 1, 2025); Connecticut requires disclosure. Stanford and USC ended legacy preferences in 2025. The federal Fair College Admissions for Students Act (reintroduced 2025) would condition Title IV participation on ending legacy and donor preferences.</w:t>
      </w:r>
    </w:p>
    <w:p>
      <w:pPr>
        <w:pStyle w:val="ListParagraph"/>
        <w:numPr>
          <w:ilvl w:val="0"/>
          <w:numId w:val="1"/>
        </w:numPr>
        <w:spacing w:after="80"/>
      </w:pPr>
      <w:r>
        <w:t>Research on the fundraising rationale is mixed: alumni giving rises while children are of application age and falls sharply after a rejection; the net financial benefit is uncertain.</w:t>
      </w:r>
    </w:p>
    <w:p>
      <w:pPr>
        <w:pStyle w:val="Heading2"/>
        <w:spacing w:after="120" w:before="240"/>
      </w:pPr>
      <w:r>
        <w:rPr>
          <w:b/>
          <w:bCs/>
        </w:rPr>
        <w:t>Developments to Know</w:t>
      </w:r>
    </w:p>
    <w:p>
      <w:pPr>
        <w:pStyle w:val="ListParagraph"/>
        <w:numPr>
          <w:ilvl w:val="0"/>
          <w:numId w:val="1"/>
        </w:numPr>
        <w:spacing w:after="80"/>
      </w:pPr>
      <w:r>
        <w:t>Presidential memorandum (Aug. 7, 2025) directing the Department of Education to collect admissions data disaggregated by race and sex through IPEDS; seventeen states sued (D. Mass., Mar. 2026); preliminary injunction against the reporting deadline for public institutions in plaintiff states and members of six higher-education associations (Apr. 2026), with the court noting the government's likely authority to seek such data.</w:t>
      </w:r>
    </w:p>
    <w:p>
      <w:pPr>
        <w:pStyle w:val="ListParagraph"/>
        <w:numPr>
          <w:ilvl w:val="0"/>
          <w:numId w:val="1"/>
        </w:numPr>
        <w:spacing w:after="80"/>
      </w:pPr>
      <w:r>
        <w:t>United States v. Harvard (D. Mass., filed Feb. 2026): Justice Department suit to compel production of applicant-level admissions records.</w:t>
      </w:r>
    </w:p>
    <w:p>
      <w:pPr>
        <w:pStyle w:val="ListParagraph"/>
        <w:numPr>
          <w:ilvl w:val="0"/>
          <w:numId w:val="1"/>
        </w:numPr>
        <w:spacing w:after="80"/>
      </w:pPr>
      <w:r>
        <w:t>Students Against Racial Discrimination v. Regents of the University of California (filed Feb. 2025), pending.</w:t>
      </w:r>
    </w:p>
    <w:p>
      <w:pPr>
        <w:pStyle w:val="ListParagraph"/>
        <w:numPr>
          <w:ilvl w:val="0"/>
          <w:numId w:val="1"/>
        </w:numPr>
        <w:spacing w:after="80"/>
      </w:pPr>
      <w:r>
        <w:t>Certiorari denied in Boston Parent Coalition (Dec. 2024) following Coalition for TJ (Feb. 2024), leaving race-neutral socioeconomic plans in place in the First and Fourth Circuits.</w:t>
      </w:r>
    </w:p>
    <w:p>
      <w:pPr>
        <w:pStyle w:val="ListParagraph"/>
        <w:numPr>
          <w:ilvl w:val="0"/>
          <w:numId w:val="1"/>
        </w:numPr>
        <w:spacing w:after="80"/>
      </w:pPr>
      <w:r>
        <w:t>California's legacy-preference ban in effect for private institutions (Sept. 2025); Stanford and USC discontinued legacy preferences.</w:t>
      </w:r>
    </w:p>
    <w:p>
      <w:pPr>
        <w:pStyle w:val="ListParagraph"/>
        <w:numPr>
          <w:ilvl w:val="0"/>
          <w:numId w:val="1"/>
        </w:numPr>
        <w:spacing w:after="80"/>
      </w:pPr>
      <w:r>
        <w:t>Enrollment after SFFA: declines in Black enrollment at several highly selective institutions, increases in Asian American enrollment, and record Pell-eligible and first-generation shares at some institutions; researchers caution that multi-year data are needed.</w:t>
      </w:r>
    </w:p>
    <w:p>
      <w:pPr>
        <w:pStyle w:val="ListParagraph"/>
        <w:numPr>
          <w:ilvl w:val="0"/>
          <w:numId w:val="1"/>
        </w:numPr>
        <w:spacing w:after="80"/>
      </w:pPr>
      <w:r>
        <w:t>Richard D. Kahlenberg, Class Matters: The Fight to Get Beyond Race Preferences, Reduce Inequality, and Build Real Diversity at America's Colleges (PublicAffairs, 2025).</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