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80"/>
      </w:pPr>
      <w:r>
        <w:rPr>
          <w:rFonts w:ascii="Montserrat" w:cs="Montserrat" w:eastAsia="Montserrat" w:hAnsi="Montserrat"/>
          <w:b/>
          <w:bCs/>
          <w:sz w:val="36"/>
          <w:szCs w:val="36"/>
        </w:rPr>
        <w:t xml:space="preserve">Mutual Funds Structure and Risk</w:t>
      </w:r>
    </w:p>
    <w:p>
      <w:pPr>
        <w:spacing w:after="200"/>
      </w:pPr>
      <w:r>
        <w:rPr>
          <w:rFonts w:ascii="Montserrat" w:cs="Montserrat" w:eastAsia="Montserrat" w:hAnsi="Montserrat"/>
          <w:b/>
          <w:bCs/>
          <w:color w:val="E87722"/>
          <w:sz w:val="24"/>
          <w:szCs w:val="24"/>
        </w:rPr>
        <w:t xml:space="preserve">Prof. John Morley</w:t>
      </w:r>
    </w:p>
    <w:p>
      <w:pPr>
        <w:pBdr>
          <w:bottom w:val="single" w:color="E87722" w:sz="6"/>
        </w:pBdr>
        <w:spacing w:after="300"/>
      </w:pPr>
    </w:p>
    <w:p>
      <w:pPr>
        <w:pStyle w:val="Heading2"/>
        <w:spacing w:after="120" w:before="240"/>
      </w:pPr>
      <w:r>
        <w:rPr>
          <w:b/>
          <w:bCs/>
        </w:rPr>
        <w:t xml:space="preserve">Overview</w:t>
      </w:r>
    </w:p>
    <w:p>
      <w:pPr>
        <w:spacing w:after="160"/>
      </w:pPr>
      <w:r>
        <w:t xml:space="preserve">This program examines the legal structure and regulation of open-end investment companies (mutual funds). It covers the "divided structure" separating a fund from its investment adviser, the central role of redemption rights, governance consequences of exit over voice, fee regulation under section 36(b) of the Investment Company Act, affiliated-transaction and conflict-of-interest rules, the insulation of fund assets from the adviser's creditors, and the growth of index funds and exchange-traded funds (ETFs). It closes with regulatory developments since 2019.</w:t>
      </w:r>
    </w:p>
    <w:p>
      <w:pPr>
        <w:pStyle w:val="Heading2"/>
        <w:spacing w:after="120" w:before="240"/>
      </w:pPr>
      <w:r>
        <w:rPr>
          <w:b/>
          <w:bCs/>
        </w:rPr>
        <w:t xml:space="preserve">Learning Objectives</w:t>
      </w:r>
    </w:p>
    <w:p>
      <w:pPr>
        <w:pStyle w:val="ListParagraph"/>
        <w:numPr>
          <w:ilvl w:val="0"/>
          <w:numId w:val="1"/>
        </w:numPr>
        <w:spacing w:after="80"/>
      </w:pPr>
      <w:r>
        <w:t xml:space="preserve">Describe the legal relationship among a mutual fund, its shareholders, its board, and its investment adviser.</w:t>
      </w:r>
    </w:p>
    <w:p>
      <w:pPr>
        <w:pStyle w:val="ListParagraph"/>
        <w:numPr>
          <w:ilvl w:val="0"/>
          <w:numId w:val="1"/>
        </w:numPr>
        <w:spacing w:after="80"/>
      </w:pPr>
      <w:r>
        <w:t xml:space="preserve">Explain how daily redemption at net asset value (NAV) shapes fund governance, pricing, and fee structures.</w:t>
      </w:r>
    </w:p>
    <w:p>
      <w:pPr>
        <w:pStyle w:val="ListParagraph"/>
        <w:numPr>
          <w:ilvl w:val="0"/>
          <w:numId w:val="1"/>
        </w:numPr>
        <w:spacing w:after="80"/>
      </w:pPr>
      <w:r>
        <w:t xml:space="preserve">Apply the section 36(b) excessive-fee standard.</w:t>
      </w:r>
    </w:p>
    <w:p>
      <w:pPr>
        <w:pStyle w:val="ListParagraph"/>
        <w:numPr>
          <w:ilvl w:val="0"/>
          <w:numId w:val="1"/>
        </w:numPr>
        <w:spacing w:after="80"/>
      </w:pPr>
      <w:r>
        <w:t xml:space="preserve">Identify the Investment Company Act's principal restrictions on affiliated transactions, leverage, and custody.</w:t>
      </w:r>
    </w:p>
    <w:p>
      <w:pPr>
        <w:pStyle w:val="ListParagraph"/>
        <w:numPr>
          <w:ilvl w:val="0"/>
          <w:numId w:val="1"/>
        </w:numPr>
        <w:spacing w:after="80"/>
      </w:pPr>
      <w:r>
        <w:t xml:space="preserve">Distinguish ETFs from traditional mutual funds and summarize the rules that now govern them.</w:t>
      </w:r>
    </w:p>
    <w:p>
      <w:pPr>
        <w:pStyle w:val="Heading2"/>
        <w:spacing w:after="120" w:before="240"/>
      </w:pPr>
      <w:r>
        <w:rPr>
          <w:b/>
          <w:bCs/>
        </w:rPr>
        <w:t xml:space="preserve">The Statutory Framework</w:t>
      </w:r>
    </w:p>
    <w:p>
      <w:pPr>
        <w:spacing w:after="160"/>
      </w:pPr>
      <w:r>
        <w:t xml:space="preserve">The Investment Company Act of 1940, 15 U.S.C. § 80a-1 et seq., regulates investment companies, and the Investment Advisers Act of 1940, 15 U.S.C. § 80b-1 et seq., regulates advisers. Congress found that investment companies had been operated in the interest of their sponsors and affiliates rather than shareholders. 15 U.S.C. § 80a-1(b). An "open-end company" offers redeemable securities. § 80a-5(a)(1). Fund shares are also registered under the Securities Act of 1933.</w:t>
      </w:r>
    </w:p>
    <w:p>
      <w:pPr>
        <w:pStyle w:val="Heading2"/>
        <w:spacing w:after="120" w:before="240"/>
      </w:pPr>
      <w:r>
        <w:rPr>
          <w:b/>
          <w:bCs/>
        </w:rPr>
        <w:t xml:space="preserve">The Divided Structure</w:t>
      </w:r>
    </w:p>
    <w:p>
      <w:pPr>
        <w:spacing w:after="160"/>
      </w:pPr>
      <w:r>
        <w:t xml:space="preserve">A mutual fund is usually a corporation or business trust with no employees of its own. Its portfolio is managed by an external adviser under a written advisory contract, which must be approved initially by a majority of the fund's outstanding voting securities and renewed annually by the board, including a majority of independent directors. 15 U.S.C. § 80a-15(a), (c). At least 40 percent of the board must be independent. § 80a-10(a). Independent directors must evaluate the information "reasonably necessary" to assess the advisory contract. The sponsoring adviser typically forms the fund and selects its initial board. See</w:t>
      </w:r>
      <w:r>
        <w:rPr>
          <w:i/>
          <w:iCs/>
        </w:rPr>
        <w:t xml:space="preserve">Burks v. Lasker</w:t>
      </w:r>
      <w:r>
        <w:t xml:space="preserve">, 441 U.S. 471 (1979) (independent directors as "watchdogs").</w:t>
      </w:r>
    </w:p>
    <w:p>
      <w:pPr>
        <w:pStyle w:val="Heading2"/>
        <w:spacing w:after="120" w:before="240"/>
      </w:pPr>
      <w:r>
        <w:rPr>
          <w:b/>
          <w:bCs/>
        </w:rPr>
        <w:t xml:space="preserve">Redemption Rights and NAV</w:t>
      </w:r>
    </w:p>
    <w:p>
      <w:pPr>
        <w:spacing w:after="160"/>
      </w:pPr>
      <w:r>
        <w:t xml:space="preserve">Open-end funds must pay redeeming shareholders their proportionate share of net assets within seven days. 15 U.S.C. § 80a-22(e). Shares are sold and redeemed at the next-computed NAV (the forward-pricing rule). 17 C.F.R. § 270.22c-1. Rule 22e-4 requires a liquidity risk management program and limits illiquid investments to 15 percent of net assets. Because investors can exit at NAV, fund share prices do not reflect expectations about future management quality, and voting rights, required for certain matters under section 15 and section 13, are rarely exercised meaningfully.</w:t>
      </w:r>
    </w:p>
    <w:p>
      <w:pPr>
        <w:pStyle w:val="Heading2"/>
        <w:spacing w:after="120" w:before="240"/>
      </w:pPr>
      <w:r>
        <w:rPr>
          <w:b/>
          <w:bCs/>
        </w:rPr>
        <w:t xml:space="preserve">Advisory Fees</w:t>
      </w:r>
    </w:p>
    <w:p>
      <w:pPr>
        <w:pStyle w:val="Heading3"/>
        <w:spacing w:after="120" w:before="240"/>
      </w:pPr>
      <w:r>
        <w:rPr>
          <w:b/>
          <w:bCs/>
        </w:rPr>
        <w:t xml:space="preserve">Performance Fees</w:t>
      </w:r>
    </w:p>
    <w:p>
      <w:pPr>
        <w:spacing w:after="160"/>
      </w:pPr>
      <w:r>
        <w:t xml:space="preserve">Section 205 of the Advisers Act, 15 U.S.C. § 80b-5, generally prohibits compensation based on capital gains or appreciation, but permits "fulcrum" fees that increase and decrease symmetrically relative to an index. § 80b-5(b)(2); 17 C.F.R. § 275.205-2. Most mutual funds charge an asset-based fee instead.</w:t>
      </w:r>
    </w:p>
    <w:p>
      <w:pPr>
        <w:pStyle w:val="Heading3"/>
        <w:spacing w:after="120" w:before="240"/>
      </w:pPr>
      <w:r>
        <w:rPr>
          <w:b/>
          <w:bCs/>
        </w:rPr>
        <w:t xml:space="preserve">Section 36(b)</w:t>
      </w:r>
    </w:p>
    <w:p>
      <w:pPr>
        <w:spacing w:after="160"/>
      </w:pPr>
      <w:r>
        <w:t xml:space="preserve">Section 36(b), 15 U.S.C. § 80a-35(b), imposes on advisers a fiduciary duty with respect to compensation and gives shareholders and the SEC a right of action. The adviser is liable if its fee "is so disproportionately large that it bears no reasonable relationship to the services rendered and could not have been the product of arm's-length bargaining."</w:t>
      </w:r>
      <w:r>
        <w:rPr>
          <w:i/>
          <w:iCs/>
        </w:rPr>
        <w:t xml:space="preserve">Jones v. Harris Associates L.P.</w:t>
      </w:r>
      <w:r>
        <w:t xml:space="preserve">, 559 U.S. 335, 346 (2010) (adopting</w:t>
      </w:r>
      <w:r>
        <w:rPr>
          <w:i/>
          <w:iCs/>
        </w:rPr>
        <w:t xml:space="preserve">Gartenberg v. Merrill Lynch Asset Management, Inc.</w:t>
      </w:r>
      <w:r>
        <w:t xml:space="preserve">, 694 F.2d 923 (2d Cir. 1982)). Relevant factors include the nature and quality of services, the adviser's costs and profitability, economies of scale, comparable fees, fall-out benefits, and the independence and care of the board. Recovery is limited to actual damages for one year before suit, and the plaintiff bears the burden of proof. § 80a-35(b)(1), (3).</w:t>
      </w:r>
    </w:p>
    <w:p>
      <w:pPr>
        <w:pStyle w:val="Heading2"/>
        <w:spacing w:after="120" w:before="240"/>
      </w:pPr>
      <w:r>
        <w:rPr>
          <w:b/>
          <w:bCs/>
        </w:rPr>
        <w:t xml:space="preserve">Conflicts of Interest and Affiliated Transactions</w:t>
      </w:r>
    </w:p>
    <w:p>
      <w:pPr>
        <w:pStyle w:val="ListParagraph"/>
        <w:numPr>
          <w:ilvl w:val="0"/>
          <w:numId w:val="1"/>
        </w:numPr>
        <w:spacing w:after="80"/>
      </w:pPr>
      <w:r>
        <w:rPr>
          <w:b/>
          <w:bCs/>
        </w:rPr>
        <w:t xml:space="preserve">Section 17(a)</w:t>
      </w:r>
      <w:r>
        <w:t xml:space="preserve">, 15 U.S.C. § 80a-17(a), prohibits principal transactions between a fund and its affiliated persons, subject to exemptions such as Rule 17a-7 for certain cross trades among affiliated funds at an independent current market price.</w:t>
      </w:r>
    </w:p>
    <w:p>
      <w:pPr>
        <w:pStyle w:val="ListParagraph"/>
        <w:numPr>
          <w:ilvl w:val="0"/>
          <w:numId w:val="1"/>
        </w:numPr>
        <w:spacing w:after="80"/>
      </w:pPr>
      <w:r>
        <w:rPr>
          <w:b/>
          <w:bCs/>
        </w:rPr>
        <w:t xml:space="preserve">Section 17(d) and Rule 17d-1</w:t>
      </w:r>
      <w:r>
        <w:t xml:space="preserve">restrict joint transactions involving a fund and its affiliates.</w:t>
      </w:r>
    </w:p>
    <w:p>
      <w:pPr>
        <w:pStyle w:val="ListParagraph"/>
        <w:numPr>
          <w:ilvl w:val="0"/>
          <w:numId w:val="1"/>
        </w:numPr>
        <w:spacing w:after="80"/>
      </w:pPr>
      <w:r>
        <w:rPr>
          <w:b/>
          <w:bCs/>
        </w:rPr>
        <w:t xml:space="preserve">Section 10(f) and Rule 10f-3</w:t>
      </w:r>
      <w:r>
        <w:t xml:space="preserve">restrict a fund's purchases of securities in offerings underwritten by an affiliated underwriter. This responds to the 1920s practice of "dumping" unsold issues into affiliated funds.</w:t>
      </w:r>
    </w:p>
    <w:p>
      <w:pPr>
        <w:pStyle w:val="ListParagraph"/>
        <w:numPr>
          <w:ilvl w:val="0"/>
          <w:numId w:val="1"/>
        </w:numPr>
        <w:spacing w:after="80"/>
      </w:pPr>
      <w:r>
        <w:rPr>
          <w:b/>
          <w:bCs/>
        </w:rPr>
        <w:t xml:space="preserve">Section 17(f)</w:t>
      </w:r>
      <w:r>
        <w:t xml:space="preserve">requires that fund assets be held by a qualified custodian.</w:t>
      </w:r>
    </w:p>
    <w:p>
      <w:pPr>
        <w:pStyle w:val="ListParagraph"/>
        <w:numPr>
          <w:ilvl w:val="0"/>
          <w:numId w:val="1"/>
        </w:numPr>
        <w:spacing w:after="80"/>
      </w:pPr>
      <w:r>
        <w:rPr>
          <w:b/>
          <w:bCs/>
        </w:rPr>
        <w:t xml:space="preserve">Allocation.</w:t>
      </w:r>
      <w:r>
        <w:t xml:space="preserve">Advisers must allocate investment opportunities, such as oversubscribed IPOs, fairly among client accounts under written policies. See Advisers Act § 206, 15 U.S.C. § 80b-6;</w:t>
      </w:r>
      <w:r>
        <w:rPr>
          <w:i/>
          <w:iCs/>
        </w:rPr>
        <w:t xml:space="preserve">SEC v. Capital Gains Research Bureau, Inc.</w:t>
      </w:r>
      <w:r>
        <w:t xml:space="preserve">, 375 U.S. 180 (1963) (fiduciary duty of advisers);</w:t>
      </w:r>
      <w:r>
        <w:rPr>
          <w:i/>
          <w:iCs/>
        </w:rPr>
        <w:t xml:space="preserve">Commission Interpretation Regarding Standard of Conduct for Investment Advisers</w:t>
      </w:r>
      <w:r>
        <w:t xml:space="preserve">, Advisers Act Release No. 5248 (2019).</w:t>
      </w:r>
    </w:p>
    <w:p>
      <w:pPr>
        <w:pStyle w:val="Heading2"/>
        <w:spacing w:after="120" w:before="240"/>
      </w:pPr>
      <w:r>
        <w:rPr>
          <w:b/>
          <w:bCs/>
        </w:rPr>
        <w:t xml:space="preserve">Asset Partitioning and Leverage</w:t>
      </w:r>
    </w:p>
    <w:p>
      <w:pPr>
        <w:spacing w:after="160"/>
      </w:pPr>
      <w:r>
        <w:t xml:space="preserve">Because the fund is a separate legal entity with its own assets, the adviser's insolvency does not expose fund assets to the adviser's creditors. This was illustrated by the separately organized funds of Lehman Brothers and Bear Stearns in 2008. Section 18, 15 U.S.C. § 80a-18, limits an open-end fund's senior securities and requires 300 percent asset coverage for bank borrowings. Rule 18f-4 (2020) now governs derivatives through a derivatives risk management program and value-at-risk limits.</w:t>
      </w:r>
    </w:p>
    <w:p>
      <w:pPr>
        <w:pStyle w:val="Heading2"/>
        <w:spacing w:after="120" w:before="240"/>
      </w:pPr>
      <w:r>
        <w:rPr>
          <w:b/>
          <w:bCs/>
        </w:rPr>
        <w:t xml:space="preserve">Index Funds and ETFs</w:t>
      </w:r>
    </w:p>
    <w:p>
      <w:pPr>
        <w:spacing w:after="160"/>
      </w:pPr>
      <w:r>
        <w:t xml:space="preserve">ETFs are registered open-end funds (or unit investment trusts) whose shares trade on exchanges at market prices. Authorized participants create and redeem shares in large "creation units," often in kind, which keeps market prices close to NAV and can improve tax efficiency. Historically each ETF needed an exemptive order from the SEC.</w:t>
      </w:r>
    </w:p>
    <w:p>
      <w:pPr>
        <w:pStyle w:val="Heading2"/>
        <w:spacing w:after="120" w:before="240"/>
      </w:pPr>
      <w:r>
        <w:rPr>
          <w:b/>
          <w:bCs/>
        </w:rPr>
        <w:t xml:space="preserve">Developments to Know</w:t>
      </w:r>
    </w:p>
    <w:p>
      <w:pPr>
        <w:pStyle w:val="ListParagraph"/>
        <w:numPr>
          <w:ilvl w:val="0"/>
          <w:numId w:val="1"/>
        </w:numPr>
        <w:spacing w:after="80"/>
      </w:pPr>
      <w:r>
        <w:rPr>
          <w:b/>
          <w:bCs/>
        </w:rPr>
        <w:t xml:space="preserve">Rule 6c-11 (2019).</w:t>
      </w:r>
      <w:r>
        <w:t xml:space="preserve">The "ETF Rule," 17 C.F.R. § 270.6c-11, allows most index-based and actively managed ETFs to operate without individual exemptive relief, subject to transparency, basket-policy, and website-disclosure conditions.</w:t>
      </w:r>
    </w:p>
    <w:p>
      <w:pPr>
        <w:pStyle w:val="ListParagraph"/>
        <w:numPr>
          <w:ilvl w:val="0"/>
          <w:numId w:val="1"/>
        </w:numPr>
        <w:spacing w:after="80"/>
      </w:pPr>
      <w:r>
        <w:rPr>
          <w:b/>
          <w:bCs/>
        </w:rPr>
        <w:t xml:space="preserve">ETF share classes.</w:t>
      </w:r>
      <w:r>
        <w:t xml:space="preserve">After a Vanguard patent on the mutual-fund-plus-ETF-share-class structure expired, many sponsors applied for exemptive relief to add ETF share classes to existing mutual funds, and the SEC has begun to permit the structure.</w:t>
      </w:r>
    </w:p>
    <w:p>
      <w:pPr>
        <w:pStyle w:val="ListParagraph"/>
        <w:numPr>
          <w:ilvl w:val="0"/>
          <w:numId w:val="1"/>
        </w:numPr>
        <w:spacing w:after="80"/>
      </w:pPr>
      <w:r>
        <w:rPr>
          <w:b/>
          <w:bCs/>
        </w:rPr>
        <w:t xml:space="preserve">Index versus active.</w:t>
      </w:r>
      <w:r>
        <w:t xml:space="preserve">Passive index funds and ETFs now hold more assets than actively managed U.S. funds, and asset-weighted expense ratios have continued to decline.</w:t>
      </w:r>
    </w:p>
    <w:p>
      <w:pPr>
        <w:pStyle w:val="ListParagraph"/>
        <w:numPr>
          <w:ilvl w:val="0"/>
          <w:numId w:val="1"/>
        </w:numPr>
        <w:spacing w:after="80"/>
      </w:pPr>
      <w:r>
        <w:rPr>
          <w:b/>
          <w:bCs/>
        </w:rPr>
        <w:t xml:space="preserve">Money market fund reform (2023).</w:t>
      </w:r>
      <w:r>
        <w:t xml:space="preserve">Following severe outflows in March 2020 and the Federal Reserve's Money Market Mutual Fund Liquidity Facility, the SEC amended Rule 2a-7 to raise minimum daily and weekly liquid assets to 25 and 50 percent, remove the ability to impose redemption gates, and require institutional prime and tax-exempt funds to impose liquidity fees when daily net redemptions exceed 5 percent.</w:t>
      </w:r>
    </w:p>
    <w:p>
      <w:pPr>
        <w:pStyle w:val="ListParagraph"/>
        <w:numPr>
          <w:ilvl w:val="0"/>
          <w:numId w:val="1"/>
        </w:numPr>
        <w:spacing w:after="80"/>
      </w:pPr>
      <w:r>
        <w:rPr>
          <w:b/>
          <w:bCs/>
        </w:rPr>
        <w:t xml:space="preserve">Other fund rules.</w:t>
      </w:r>
      <w:r>
        <w:t xml:space="preserve">Rule 18f-4 (derivatives, 2020). Amendments to the Names Rule, Rule 35d-1 (2023), requiring an 80 percent investment policy for many fund names (compliance dates extended to June 2026 for larger fund groups and December 2026 for smaller ones). Tailored shareholder reports (2022). The SEC's 2022 proposal to mandate swing pricing and a "hard close" for open-end funds was withdrawn in June 2025.</w:t>
      </w:r>
    </w:p>
    <w:p>
      <w:pPr>
        <w:pStyle w:val="ListParagraph"/>
        <w:numPr>
          <w:ilvl w:val="0"/>
          <w:numId w:val="1"/>
        </w:numPr>
        <w:spacing w:after="80"/>
      </w:pPr>
      <w:r>
        <w:rPr>
          <w:b/>
          <w:bCs/>
        </w:rPr>
        <w:t xml:space="preserve">Section 36(b) litigation.</w:t>
      </w:r>
      <w:r>
        <w:t xml:space="preserve">Excessive-fee claims continue to be filed, but plaintiffs have not prevailed at trial under</w:t>
      </w:r>
      <w:r>
        <w:rPr>
          <w:i/>
          <w:iCs/>
        </w:rPr>
        <w:t xml:space="preserve">Jones v. Harris</w:t>
      </w:r>
      <w:r>
        <w:t xml:space="preserve">. Fee litigation has shifted substantially to ERISA claims over 401(k) plan investment options. See</w:t>
      </w:r>
      <w:r>
        <w:rPr>
          <w:i/>
          <w:iCs/>
        </w:rPr>
        <w:t xml:space="preserve">Hughes v. Northwestern University</w:t>
      </w:r>
      <w:r>
        <w:t xml:space="preserve">, 595 U.S. 170 (2022). In March 2026 the Labor Department proposed a process-based fiduciary safe harbor for including alternative assets in 401(k) plans, implementing an August 2025 executive order.</w:t>
      </w:r>
    </w:p>
    <w:p>
      <w:pPr>
        <w:pStyle w:val="ListParagraph"/>
        <w:numPr>
          <w:ilvl w:val="0"/>
          <w:numId w:val="1"/>
        </w:numPr>
        <w:spacing w:after="80"/>
      </w:pPr>
      <w:r>
        <w:rPr>
          <w:b/>
          <w:bCs/>
        </w:rPr>
        <w:t xml:space="preserve">Voting power of large fund complexes.</w:t>
      </w:r>
      <w:r>
        <w:t xml:space="preserve">The concentration of proxy voting power in the largest index managers has drawn scrutiny from regulators, state officials, and Congress. Major managers have introduced "voting choice" programs allowing some investors to direct votes on their share of fund holdings.</w:t>
      </w:r>
    </w:p>
    <w:p>
      <w:pPr>
        <w:pStyle w:val="ListParagraph"/>
        <w:numPr>
          <w:ilvl w:val="0"/>
          <w:numId w:val="1"/>
        </w:numPr>
        <w:spacing w:after="80"/>
      </w:pPr>
      <w:r>
        <w:rPr>
          <w:b/>
          <w:bCs/>
        </w:rPr>
        <w:t xml:space="preserve">Private markets for retail and retirement investors.</w:t>
      </w:r>
      <w:r>
        <w:t xml:space="preserve">Policymakers have encouraged broader access to private equity, private credit, and other alternatives through interval funds, tender-offer funds, and retirement plans. That raises questions about fees, liquidity, valuation, and fiduciary duty.</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Open Sans" w:cs="Open Sans" w:eastAsia="Open Sans" w:hAnsi="Open Sans"/>
        <w:color w:val="999999"/>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Montserrat" w:cs="Montserrat" w:eastAsia="Montserrat" w:hAnsi="Montserrat"/>
        <w:color w:val="999999"/>
        <w:sz w:val="16"/>
        <w:szCs w:val="16"/>
      </w:rPr>
      <w:t xml:space="preserve">TalksOnLaw — Written Materials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Open Sans" w:cs="Open Sans" w:eastAsia="Open Sans" w:hAnsi="Open Sans"/>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240"/>
    </w:pPr>
    <w:rPr>
      <w:rFonts w:ascii="Montserrat" w:cs="Montserrat" w:eastAsia="Montserrat" w:hAnsi="Montserrat"/>
      <w:b/>
      <w:bCs/>
      <w:sz w:val="36"/>
      <w:szCs w:val="36"/>
    </w:rPr>
  </w:style>
  <w:style w:type="paragraph" w:styleId="Heading2">
    <w:name w:val="Heading 2"/>
    <w:basedOn w:val="Normal"/>
    <w:next w:val="Normal"/>
    <w:qFormat/>
    <w:pPr>
      <w:spacing w:after="120" w:before="200"/>
    </w:pPr>
    <w:rPr>
      <w:rFonts w:ascii="Montserrat" w:cs="Montserrat" w:eastAsia="Montserrat" w:hAnsi="Montserrat"/>
      <w:b/>
      <w:bCs/>
      <w:sz w:val="30"/>
      <w:szCs w:val="30"/>
    </w:rPr>
  </w:style>
  <w:style w:type="paragraph" w:styleId="Heading3">
    <w:name w:val="Heading 3"/>
    <w:basedOn w:val="Normal"/>
    <w:next w:val="Normal"/>
    <w:qFormat/>
    <w:pPr>
      <w:spacing w:after="100" w:before="160"/>
    </w:pPr>
    <w:rPr>
      <w:rFonts w:ascii="Montserrat" w:cs="Montserrat" w:eastAsia="Montserrat" w:hAnsi="Montserrat"/>
      <w:b/>
      <w:bC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2026-09-28T18:12:32.698Z</dcterms:created>
  <dcterms:modified xsi:type="dcterms:W3CDTF">2026-09-28T18:12:32.698Z</dcterms:modified>
</cp:coreProperties>
</file>

<file path=docProps/custom.xml><?xml version="1.0" encoding="utf-8"?>
<Properties xmlns="http://schemas.openxmlformats.org/officeDocument/2006/custom-properties" xmlns:vt="http://schemas.openxmlformats.org/officeDocument/2006/docPropsVTypes"/>
</file>