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Diversity in Justice</w:t>
      </w:r>
    </w:p>
    <w:p>
      <w:pPr>
        <w:spacing w:after="200"/>
      </w:pPr>
      <w:r>
        <w:rPr>
          <w:rFonts w:ascii="Montserrat" w:cs="Montserrat" w:eastAsia="Montserrat" w:hAnsi="Montserrat"/>
          <w:b/>
          <w:bCs/>
          <w:color w:val="E87722"/>
          <w:sz w:val="24"/>
          <w:szCs w:val="24"/>
        </w:rPr>
        <w:t xml:space="preserve">Judge Jenny Rivera</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diversity in the legal profession and the judiciary, with a focus on the experiences of Latina lawyers. It covers why the composition of the bar and bench matters for public confidence in the justice system, the pipeline from law school to leadership positions and judicial office, the barriers reported by women and lawyers of color, the value of varied professional experience on appellate courts, and practical strategies such as mentorship and bar association involvement. It also reviews recent legal developments affecting diversity programs in admissions and employment.</w:t>
      </w:r>
    </w:p>
    <w:p>
      <w:pPr>
        <w:pStyle w:val="Heading2"/>
        <w:spacing w:after="120" w:before="240"/>
      </w:pPr>
      <w:r>
        <w:rPr>
          <w:b/>
          <w:bCs/>
        </w:rPr>
        <w:t xml:space="preserve">Learning Objectives</w:t>
      </w:r>
    </w:p>
    <w:p>
      <w:pPr>
        <w:pStyle w:val="ListParagraph"/>
        <w:numPr>
          <w:ilvl w:val="0"/>
          <w:numId w:val="1"/>
        </w:numPr>
        <w:spacing w:after="80"/>
      </w:pPr>
      <w:r>
        <w:t xml:space="preserve">Explain the institutional reasons, including public confidence and the legitimacy of the rule of law, for a legal profession and judiciary that reflect the communities they serve.</w:t>
      </w:r>
    </w:p>
    <w:p>
      <w:pPr>
        <w:pStyle w:val="ListParagraph"/>
        <w:numPr>
          <w:ilvl w:val="0"/>
          <w:numId w:val="1"/>
        </w:numPr>
        <w:spacing w:after="80"/>
      </w:pPr>
      <w:r>
        <w:t xml:space="preserve">Identify pipeline factors that affect the diversity of the bar and the bench.</w:t>
      </w:r>
    </w:p>
    <w:p>
      <w:pPr>
        <w:pStyle w:val="ListParagraph"/>
        <w:numPr>
          <w:ilvl w:val="0"/>
          <w:numId w:val="1"/>
        </w:numPr>
        <w:spacing w:after="80"/>
      </w:pPr>
      <w:r>
        <w:t xml:space="preserve">Recognize common forms of bias and stereotyping reported by women and lawyers of color, including the "only one in the room" dynamic.</w:t>
      </w:r>
    </w:p>
    <w:p>
      <w:pPr>
        <w:pStyle w:val="ListParagraph"/>
        <w:numPr>
          <w:ilvl w:val="0"/>
          <w:numId w:val="1"/>
        </w:numPr>
        <w:spacing w:after="80"/>
      </w:pPr>
      <w:r>
        <w:t xml:space="preserve">Describe effective mentorship and sponsorship practices.</w:t>
      </w:r>
    </w:p>
    <w:p>
      <w:pPr>
        <w:pStyle w:val="ListParagraph"/>
        <w:numPr>
          <w:ilvl w:val="0"/>
          <w:numId w:val="1"/>
        </w:numPr>
        <w:spacing w:after="80"/>
      </w:pPr>
      <w:r>
        <w:t xml:space="preserve">Summarize recent legal developments affecting diversity efforts in admissions and the workplace, and the lawful practices that remain available.</w:t>
      </w:r>
    </w:p>
    <w:p>
      <w:pPr>
        <w:pStyle w:val="Heading2"/>
        <w:spacing w:after="120" w:before="240"/>
      </w:pPr>
      <w:r>
        <w:rPr>
          <w:b/>
          <w:bCs/>
        </w:rPr>
        <w:t xml:space="preserve">Why Composition Matters</w:t>
      </w:r>
    </w:p>
    <w:p>
      <w:pPr>
        <w:spacing w:after="160"/>
      </w:pPr>
      <w:r>
        <w:t xml:space="preserve">Professional bodies have long treated diversity as a core value of the profession. See ABA Goal III (promoting full and equal participation in the legal profession and the justice system by all persons); N.Y. State Bar Ass'n and other state and local bar policies. For the judiciary, the concern is institutional legitimacy: litigants and the public are more likely to accept judicial decisions as impartial when the courts are seen as open to all. Judges also benefit from colleagues with varied life and professional experience in deliberation. As Justice Sandra Day O'Connor wrote of Justice Thurgood Marshall, his experience as a civil rights litigator changed how his colleagues understood the cases before them. See Sandra Day O'Connor,</w:t>
      </w:r>
      <w:r>
        <w:rPr>
          <w:i/>
          <w:iCs/>
        </w:rPr>
        <w:t xml:space="preserve">Thurgood Marshall: The Influence of a Raconteur</w:t>
      </w:r>
      <w:r>
        <w:t xml:space="preserve">, 44 Stan. L. Rev. 1217 (1992).</w:t>
      </w:r>
    </w:p>
    <w:p>
      <w:pPr>
        <w:pStyle w:val="Heading2"/>
        <w:spacing w:after="120" w:before="240"/>
      </w:pPr>
      <w:r>
        <w:rPr>
          <w:b/>
          <w:bCs/>
        </w:rPr>
        <w:t xml:space="preserve">Ethical Rules on Bias and Discrimination</w:t>
      </w:r>
    </w:p>
    <w:p>
      <w:pPr>
        <w:pStyle w:val="ListParagraph"/>
        <w:numPr>
          <w:ilvl w:val="0"/>
          <w:numId w:val="1"/>
        </w:numPr>
        <w:spacing w:after="80"/>
      </w:pPr>
      <w:r>
        <w:rPr>
          <w:b/>
          <w:bCs/>
        </w:rPr>
        <w:t xml:space="preserve">ABA Model Rule 8.4(g)</w:t>
      </w:r>
      <w:r>
        <w:t xml:space="preserve">(adopted 2016) makes it professional misconduct to engage in conduct the lawyer knows or reasonably should know is harassment or discrimination on the basis of race, sex, religion, national origin, ethnicity, disability, age, sexual orientation, gender identity, marital status, or socioeconomic status in conduct related to the practice of law. States have adopted, modified, or declined it. Challenges have raised First Amendment concerns. See</w:t>
      </w:r>
      <w:r>
        <w:rPr>
          <w:i/>
          <w:iCs/>
        </w:rPr>
        <w:t xml:space="preserve">Greenberg v. Lehocky</w:t>
      </w:r>
      <w:r>
        <w:t xml:space="preserve">, 81 F.4th 376 (3d Cir. 2023) (dismissing a challenge to Pennsylvania's version for lack of standing).</w:t>
      </w:r>
    </w:p>
    <w:p>
      <w:pPr>
        <w:pStyle w:val="ListParagraph"/>
        <w:numPr>
          <w:ilvl w:val="0"/>
          <w:numId w:val="1"/>
        </w:numPr>
        <w:spacing w:after="80"/>
      </w:pPr>
      <w:r>
        <w:rPr>
          <w:b/>
          <w:bCs/>
        </w:rPr>
        <w:t xml:space="preserve">Model Code of Judicial Conduct Rule 2.3</w:t>
      </w:r>
      <w:r>
        <w:t xml:space="preserve">requires judges to perform their duties without bias or prejudice, and to require lawyers in proceedings before them to refrain from manifesting bias.</w:t>
      </w:r>
    </w:p>
    <w:p>
      <w:pPr>
        <w:pStyle w:val="ListParagraph"/>
        <w:numPr>
          <w:ilvl w:val="0"/>
          <w:numId w:val="1"/>
        </w:numPr>
        <w:spacing w:after="80"/>
      </w:pPr>
      <w:r>
        <w:rPr>
          <w:b/>
          <w:bCs/>
        </w:rPr>
        <w:t xml:space="preserve">New York Rule of Professional Conduct 8.4(g)</w:t>
      </w:r>
      <w:r>
        <w:t xml:space="preserve">prohibits unlawful discrimination in the practice of law, including in hiring, promoting, or otherwise determining conditions of employment, and harassment on the basis of protected categories.</w:t>
      </w:r>
    </w:p>
    <w:p>
      <w:pPr>
        <w:pStyle w:val="Heading2"/>
        <w:spacing w:after="120" w:before="240"/>
      </w:pPr>
      <w:r>
        <w:rPr>
          <w:b/>
          <w:bCs/>
        </w:rPr>
        <w:t xml:space="preserve">The Pipeline</w:t>
      </w:r>
    </w:p>
    <w:p>
      <w:pPr>
        <w:spacing w:after="160"/>
      </w:pPr>
      <w:r>
        <w:t xml:space="preserve">Women have made up roughly half or more of law school enrollment for years, and a majority since the mid-2010s. Representation of lawyers of color has grown more slowly and remains below their share of the population. Judicial appointments draw on lawyers who have held leadership roles, such as partners, public interest leaders, prosecutors and defenders, and bar leaders, so gaps at those levels carry through to the bench. Geography also matters. Lawyers of color are concentrated in metropolitan areas, which contributes to regional differences in the diversity of state and federal courts.</w:t>
      </w:r>
    </w:p>
    <w:p>
      <w:pPr>
        <w:pStyle w:val="Heading2"/>
        <w:spacing w:after="120" w:before="240"/>
      </w:pPr>
      <w:r>
        <w:rPr>
          <w:b/>
          <w:bCs/>
        </w:rPr>
        <w:t xml:space="preserve">The New York Court of Appeals</w:t>
      </w:r>
    </w:p>
    <w:p>
      <w:pPr>
        <w:spacing w:after="160"/>
      </w:pPr>
      <w:r>
        <w:t xml:space="preserve">Judith S. Kaye became the first woman on the Court of Appeals (1983) and later its first woman Chief Judge (1993–2008). Carmen Beauchamp Ciparick was the first Latina judge (1994), and Judge Rivera the second (2013). Sheila Abdus-Salaam was the first Black woman judge (2013). Rowan D. Wilson became the first Black Chief Judge in 2023. Judges of the Court are appointed by the Governor from candidates recommended by the Commission on Judicial Nomination and confirmed by the Senate, for 14-year terms. N.Y. Const. art. VI, § 2.</w:t>
      </w:r>
    </w:p>
    <w:p>
      <w:pPr>
        <w:pStyle w:val="Heading2"/>
        <w:spacing w:after="120" w:before="240"/>
      </w:pPr>
      <w:r>
        <w:rPr>
          <w:b/>
          <w:bCs/>
        </w:rPr>
        <w:t xml:space="preserve">The Experience of Latina Lawyers</w:t>
      </w:r>
    </w:p>
    <w:p>
      <w:pPr>
        <w:spacing w:after="160"/>
      </w:pPr>
      <w:r>
        <w:t xml:space="preserve">The Hispanic National Bar Association's Latina Commission published national studies of Latina attorneys, beginning with</w:t>
      </w:r>
      <w:r>
        <w:rPr>
          <w:i/>
          <w:iCs/>
        </w:rPr>
        <w:t xml:space="preserve">Few and Far Between: The Reality of Latina Lawyers</w:t>
      </w:r>
      <w:r>
        <w:t xml:space="preserve">(2009). Principal findings included:</w:t>
      </w:r>
    </w:p>
    <w:p>
      <w:pPr>
        <w:pStyle w:val="ListParagraph"/>
        <w:numPr>
          <w:ilvl w:val="0"/>
          <w:numId w:val="1"/>
        </w:numPr>
        <w:spacing w:after="80"/>
      </w:pPr>
      <w:r>
        <w:t xml:space="preserve">High levels of professional satisfaction, often tied to being the first in the family to reach the profession.</w:t>
      </w:r>
    </w:p>
    <w:p>
      <w:pPr>
        <w:pStyle w:val="ListParagraph"/>
        <w:numPr>
          <w:ilvl w:val="0"/>
          <w:numId w:val="1"/>
        </w:numPr>
        <w:spacing w:after="80"/>
      </w:pPr>
      <w:r>
        <w:t xml:space="preserve">Barriers on the path to law school, including few mentors, low expectations from educators, and conflicting cultural and professional role expectations.</w:t>
      </w:r>
    </w:p>
    <w:p>
      <w:pPr>
        <w:pStyle w:val="ListParagraph"/>
        <w:numPr>
          <w:ilvl w:val="0"/>
          <w:numId w:val="1"/>
        </w:numPr>
        <w:spacing w:after="80"/>
      </w:pPr>
      <w:r>
        <w:t xml:space="preserve">Workplace stereotyping, including being mistaken for court interpreters or support staff, having competence questioned, and receiving fewer high-profile assignments.</w:t>
      </w:r>
    </w:p>
    <w:p>
      <w:pPr>
        <w:pStyle w:val="ListParagraph"/>
        <w:numPr>
          <w:ilvl w:val="0"/>
          <w:numId w:val="1"/>
        </w:numPr>
        <w:spacing w:after="80"/>
      </w:pPr>
      <w:r>
        <w:t xml:space="preserve">The "double bind" of gender and ethnicity, and the burden of being seen as representing an entire community.</w:t>
      </w:r>
    </w:p>
    <w:p>
      <w:pPr>
        <w:pStyle w:val="Heading2"/>
        <w:spacing w:after="120" w:before="240"/>
      </w:pPr>
      <w:r>
        <w:rPr>
          <w:b/>
          <w:bCs/>
        </w:rPr>
        <w:t xml:space="preserve">Group Dynamics: The "Only One in the Room"</w:t>
      </w:r>
    </w:p>
    <w:p>
      <w:pPr>
        <w:spacing w:after="160"/>
      </w:pPr>
      <w:r>
        <w:t xml:space="preserve">Research on "critical mass" suggests that when members of an underrepresented group are a small minority, often below about 30 percent or fewer than three people in a group, their contributions are more likely to be overlooked or attributed to others, and they face heightened visibility and performance pressure. Practical responses include structured meetings, deliberate attribution of ideas, and diverse staffing of teams, panels, and trial teams.</w:t>
      </w:r>
    </w:p>
    <w:p>
      <w:pPr>
        <w:pStyle w:val="Heading2"/>
        <w:spacing w:after="120" w:before="240"/>
      </w:pPr>
      <w:r>
        <w:rPr>
          <w:b/>
          <w:bCs/>
        </w:rPr>
        <w:t xml:space="preserve">Mentorship and Sponsorship</w:t>
      </w:r>
    </w:p>
    <w:p>
      <w:pPr>
        <w:spacing w:after="160"/>
      </w:pPr>
      <w:r>
        <w:t xml:space="preserve">The studies recommended programs designed to help lawyers thrive, not merely survive. That means pursuing law review and honors, first-chair trial experience, partnership, and leadership roles. Mentors need not share a mentee's background, and given small numbers, cross-group mentorship is essential. Every lawyer can mentor. Bar associations provide a practical venue for building those relationships throughout a career.</w:t>
      </w:r>
    </w:p>
    <w:p>
      <w:pPr>
        <w:pStyle w:val="Heading2"/>
        <w:spacing w:after="120" w:before="240"/>
      </w:pPr>
      <w:r>
        <w:rPr>
          <w:b/>
          <w:bCs/>
        </w:rPr>
        <w:t xml:space="preserve">Developments to Know</w:t>
      </w:r>
    </w:p>
    <w:p>
      <w:pPr>
        <w:pStyle w:val="ListParagraph"/>
        <w:numPr>
          <w:ilvl w:val="0"/>
          <w:numId w:val="1"/>
        </w:numPr>
        <w:spacing w:after="80"/>
      </w:pPr>
      <w:r>
        <w:rPr>
          <w:b/>
          <w:bCs/>
        </w:rPr>
        <w:t xml:space="preserve">&lt;em&gt;Students for Fair Admissions, Inc. v. President &amp; Fellows of Harvard College&lt;/em&gt;, 600 U.S. 181 (2023).</w:t>
      </w:r>
      <w:r>
        <w:t xml:space="preserve">The Court held that race-conscious admissions programs at Harvard and the University of North Carolina violated the Equal Protection Clause and Title VI of the Civil Rights Act of 1964, 42 U.S.C. § 2000d. The Court noted that applicants may discuss how race has affected their lives, so long as the institution evaluates the individual's experiences rather than race as such.</w:t>
      </w:r>
    </w:p>
    <w:p>
      <w:pPr>
        <w:pStyle w:val="ListParagraph"/>
        <w:numPr>
          <w:ilvl w:val="0"/>
          <w:numId w:val="1"/>
        </w:numPr>
        <w:spacing w:after="80"/>
      </w:pPr>
      <w:r>
        <w:rPr>
          <w:b/>
          <w:bCs/>
        </w:rPr>
        <w:t xml:space="preserve">ABA Standard 206.</w:t>
      </w:r>
      <w:r>
        <w:t xml:space="preserve">The ABA Council of the Section of Legal Education and Admissions to the Bar suspended enforcement of Standard 206 (Diversity and Inclusion) in 2025 and repealed it by a 10–6 vote on September 8, 2026. In early 2026 Texas and Florida ended their exclusive reliance on ABA accreditation for bar admission, and the Department of Education is reviewing the Council's federal recognition as an accreditor.</w:t>
      </w:r>
    </w:p>
    <w:p>
      <w:pPr>
        <w:pStyle w:val="ListParagraph"/>
        <w:numPr>
          <w:ilvl w:val="0"/>
          <w:numId w:val="1"/>
        </w:numPr>
        <w:spacing w:after="80"/>
      </w:pPr>
      <w:r>
        <w:rPr>
          <w:b/>
          <w:bCs/>
        </w:rPr>
        <w:t xml:space="preserve">Employment law.</w:t>
      </w:r>
      <w:r>
        <w:t xml:space="preserve">Title VII, 42 U.S.C. § 2000e-2, prohibits employment decisions based on race or sex, and 42 U.S.C. § 1981 prohibits race discrimination in contracting.</w:t>
      </w:r>
      <w:r>
        <w:rPr>
          <w:i/>
          <w:iCs/>
        </w:rPr>
        <w:t xml:space="preserve">Muldrow v. City of St. Louis</w:t>
      </w:r>
      <w:r>
        <w:t xml:space="preserve">, 601 U.S. 346 (2024), held that a Title VII plaintiff challenging a discriminatory transfer need show only "some harm," not significant harm.</w:t>
      </w:r>
      <w:r>
        <w:rPr>
          <w:i/>
          <w:iCs/>
        </w:rPr>
        <w:t xml:space="preserve">Ames v. Ohio Department of Youth Services</w:t>
      </w:r>
      <w:r>
        <w:t xml:space="preserve">, 605 U.S. ___ (2025), held unanimously that majority-group plaintiffs face the same Title VII standard as other plaintiffs. Diversity fellowships and programs limited by race have drawn challenges under these statutes.</w:t>
      </w:r>
    </w:p>
    <w:p>
      <w:pPr>
        <w:pStyle w:val="ListParagraph"/>
        <w:numPr>
          <w:ilvl w:val="0"/>
          <w:numId w:val="1"/>
        </w:numPr>
        <w:spacing w:after="80"/>
      </w:pPr>
      <w:r>
        <w:rPr>
          <w:b/>
          <w:bCs/>
        </w:rPr>
        <w:t xml:space="preserve">Federal scrutiny of law firms.</w:t>
      </w:r>
      <w:r>
        <w:t xml:space="preserve">In 2025, the EEOC sought information from major law firms about their diversity programs, and executive orders directed at several firms were held unconstitutional by federal district courts; the government's consolidated appeal was argued in the D.C. Circuit in May 2026. Many firms have revised programs to open eligibility to all applicants while keeping mentorship, pipeline, and inclusion initiatives.</w:t>
      </w:r>
    </w:p>
    <w:p>
      <w:pPr>
        <w:pStyle w:val="ListParagraph"/>
        <w:numPr>
          <w:ilvl w:val="0"/>
          <w:numId w:val="1"/>
        </w:numPr>
        <w:spacing w:after="80"/>
      </w:pPr>
      <w:r>
        <w:rPr>
          <w:b/>
          <w:bCs/>
        </w:rPr>
        <w:t xml:space="preserve">Judicial diversity.</w:t>
      </w:r>
      <w:r>
        <w:t xml:space="preserve">Justice Ketanji Brown Jackson joined the Supreme Court in 2022 as its first Black woman Justice. In New York, Chief Judge Rowan D. Wilson took office in 2023, and women hold a majority of the Court of Appeals' seven seats.</w:t>
      </w:r>
    </w:p>
    <w:p>
      <w:pPr>
        <w:pStyle w:val="ListParagraph"/>
        <w:numPr>
          <w:ilvl w:val="0"/>
          <w:numId w:val="1"/>
        </w:numPr>
        <w:spacing w:after="80"/>
      </w:pPr>
      <w:r>
        <w:rPr>
          <w:b/>
          <w:bCs/>
        </w:rPr>
        <w:t xml:space="preserve">CLE requirements.</w:t>
      </w:r>
      <w:r>
        <w:t xml:space="preserve">New York requires attorneys to complete at least one credit hour in Diversity, Inclusion and Elimination of Bias each biennial reporting cycle (22 NYCRR Part 1500), and several other states have adopted similar or implicit-bias requirements.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2026-09-28T18:12:32.375Z</dcterms:created>
  <dcterms:modified xsi:type="dcterms:W3CDTF">2026-09-28T18:12:32.375Z</dcterms:modified>
</cp:coreProperties>
</file>

<file path=docProps/custom.xml><?xml version="1.0" encoding="utf-8"?>
<Properties xmlns="http://schemas.openxmlformats.org/officeDocument/2006/custom-properties" xmlns:vt="http://schemas.openxmlformats.org/officeDocument/2006/docPropsVTypes"/>
</file>