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Donald Trump and the Weight of Presidential Speech</w:t>
      </w:r>
    </w:p>
    <w:p>
      <w:pPr>
        <w:spacing w:after="200"/>
      </w:pPr>
      <w:r>
        <w:rPr>
          <w:rFonts w:ascii="Montserrat" w:cs="Montserrat" w:eastAsia="Montserrat" w:hAnsi="Montserrat"/>
          <w:b/>
          <w:bCs/>
          <w:color w:val="E87722"/>
          <w:sz w:val="24"/>
          <w:szCs w:val="24"/>
        </w:rPr>
        <w:t xml:space="preserve">Prof. Kate Shaw</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when, and how much, courts should rely on a president's public statements in interpreting or assessing the legality of government action. It surveys the limited case law on "executive intent," contrasts it with debates over legislative history, and considers several contexts: statutory challenges (the Affordable Care Act), administrative action (DAPA), executive orders (the travel ban and sanctuary jurisdictions), claims of discriminatory purpose, and national security. It proposes principles based on the formality, setting, and relevance of the statement.</w:t>
      </w:r>
    </w:p>
    <w:p>
      <w:pPr>
        <w:pStyle w:val="Heading2"/>
        <w:spacing w:after="120" w:before="240"/>
      </w:pPr>
      <w:r>
        <w:rPr>
          <w:b/>
          <w:bCs/>
        </w:rPr>
        <w:t xml:space="preserve">Learning Objectives</w:t>
      </w:r>
    </w:p>
    <w:p>
      <w:pPr>
        <w:pStyle w:val="ListParagraph"/>
        <w:numPr>
          <w:ilvl w:val="0"/>
          <w:numId w:val="1"/>
        </w:numPr>
        <w:spacing w:after="80"/>
      </w:pPr>
      <w:r>
        <w:t xml:space="preserve">Compare approaches to legislative intent with the undeveloped law of executive intent.</w:t>
      </w:r>
    </w:p>
    <w:p>
      <w:pPr>
        <w:pStyle w:val="ListParagraph"/>
        <w:numPr>
          <w:ilvl w:val="0"/>
          <w:numId w:val="1"/>
        </w:numPr>
        <w:spacing w:after="80"/>
      </w:pPr>
      <w:r>
        <w:t xml:space="preserve">Explain why formal legal documents, such as executive orders and DOJ briefs, generally deserve more weight than informal presidential remarks.</w:t>
      </w:r>
    </w:p>
    <w:p>
      <w:pPr>
        <w:pStyle w:val="ListParagraph"/>
        <w:numPr>
          <w:ilvl w:val="0"/>
          <w:numId w:val="1"/>
        </w:numPr>
        <w:spacing w:after="80"/>
      </w:pPr>
      <w:r>
        <w:t xml:space="preserve">Identify doctrines, including equal protection and religious discrimination, in which official motive is legally relevant, and apply them to presidential statements.</w:t>
      </w:r>
    </w:p>
    <w:p>
      <w:pPr>
        <w:pStyle w:val="ListParagraph"/>
        <w:numPr>
          <w:ilvl w:val="0"/>
          <w:numId w:val="1"/>
        </w:numPr>
        <w:spacing w:after="80"/>
      </w:pPr>
      <w:r>
        <w:t xml:space="preserve">Evaluate how the setting and preparation of a statement affect its evidentiary weight.</w:t>
      </w:r>
    </w:p>
    <w:p>
      <w:pPr>
        <w:pStyle w:val="ListParagraph"/>
        <w:numPr>
          <w:ilvl w:val="0"/>
          <w:numId w:val="1"/>
        </w:numPr>
        <w:spacing w:after="80"/>
      </w:pPr>
      <w:r>
        <w:t xml:space="preserve">Describe how the Supreme Court has since treated presidential statements in</w:t>
      </w:r>
      <w:r>
        <w:rPr>
          <w:i/>
          <w:iCs/>
        </w:rPr>
        <w:t xml:space="preserve">Trump v. Hawaii</w:t>
      </w:r>
      <w:r>
        <w:t xml:space="preserve">,</w:t>
      </w:r>
      <w:r>
        <w:rPr>
          <w:i/>
          <w:iCs/>
        </w:rPr>
        <w:t xml:space="preserve">DHS v. Regents</w:t>
      </w:r>
      <w:r>
        <w:t xml:space="preserve">, and related cases.</w:t>
      </w:r>
    </w:p>
    <w:p>
      <w:pPr>
        <w:pStyle w:val="Heading2"/>
        <w:spacing w:after="120" w:before="240"/>
      </w:pPr>
      <w:r>
        <w:rPr>
          <w:b/>
          <w:bCs/>
        </w:rPr>
        <w:t xml:space="preserve">Legislative Intent and Executive Intent</w:t>
      </w:r>
    </w:p>
    <w:p>
      <w:pPr>
        <w:spacing w:after="160"/>
      </w:pPr>
      <w:r>
        <w:t xml:space="preserve">Textualists hold that statutory meaning comes from enacted text alone, and that legislative history is generally not a legitimate source of meaning. See Antonin Scalia,</w:t>
      </w:r>
      <w:r>
        <w:rPr>
          <w:i/>
          <w:iCs/>
        </w:rPr>
        <w:t xml:space="preserve">A Matter of Interpretation</w:t>
      </w:r>
      <w:r>
        <w:t xml:space="preserve">(1997);</w:t>
      </w:r>
      <w:r>
        <w:rPr>
          <w:i/>
          <w:iCs/>
        </w:rPr>
        <w:t xml:space="preserve">Bostock v. Clayton County</w:t>
      </w:r>
      <w:r>
        <w:t xml:space="preserve">, 590 U.S. 644 (2020) (Gorsuch, J.). Others consult committee reports, floor statements, and historical context when text is unclear. By contrast, courts have developed little doctrine about the relevance of a president's intent or statements. See Katherine Shaw,</w:t>
      </w:r>
      <w:r>
        <w:rPr>
          <w:i/>
          <w:iCs/>
        </w:rPr>
        <w:t xml:space="preserve">Beyond the Bully Pulpit: Presidential Speech in the Courts</w:t>
      </w:r>
      <w:r>
        <w:t xml:space="preserve">, 96 Tex. L. Rev. 71 (2017).</w:t>
      </w:r>
    </w:p>
    <w:p>
      <w:pPr>
        <w:pStyle w:val="Heading2"/>
        <w:spacing w:after="120" w:before="240"/>
      </w:pPr>
      <w:r>
        <w:rPr>
          <w:b/>
          <w:bCs/>
        </w:rPr>
        <w:t xml:space="preserve">Executive Orders and Judicial Review</w:t>
      </w:r>
    </w:p>
    <w:p>
      <w:pPr>
        <w:spacing w:after="160"/>
      </w:pPr>
      <w:r>
        <w:t xml:space="preserve">Executive orders are not mentioned in the Constitution, but presidents have issued them since the founding, relying on constitutional and statutory authority. Courts generally uphold them. The leading counterexample is</w:t>
      </w:r>
      <w:r>
        <w:rPr>
          <w:i/>
          <w:iCs/>
        </w:rPr>
        <w:t xml:space="preserve">Youngstown Sheet &amp; Tube Co. v. Sawyer</w:t>
      </w:r>
      <w:r>
        <w:t xml:space="preserve">, 343 U.S. 579 (1952), which invalidated President Truman's executive order seizing the nation's steel mills during the Korean War. Justice Jackson's concurrence set out the three-category framework for presidential power that remains the standard analysis.</w:t>
      </w:r>
      <w:r>
        <w:rPr>
          <w:i/>
          <w:iCs/>
        </w:rPr>
        <w:t xml:space="preserve">Id.</w:t>
      </w:r>
      <w:r>
        <w:t xml:space="preserve">at 635–38 (Jackson, J., concurring).</w:t>
      </w:r>
    </w:p>
    <w:p>
      <w:pPr>
        <w:pStyle w:val="Heading2"/>
        <w:spacing w:after="120" w:before="240"/>
      </w:pPr>
      <w:r>
        <w:rPr>
          <w:b/>
          <w:bCs/>
        </w:rPr>
        <w:t xml:space="preserve">Informal Statements Versus Formal Legal Positions</w:t>
      </w:r>
    </w:p>
    <w:p>
      <w:pPr>
        <w:pStyle w:val="Heading3"/>
        <w:spacing w:after="120" w:before="240"/>
      </w:pPr>
      <w:r>
        <w:rPr>
          <w:b/>
          <w:bCs/>
        </w:rPr>
        <w:t xml:space="preserve">NFIB v. Sebelius, 567 U.S. 519 (2012)</w:t>
      </w:r>
    </w:p>
    <w:p>
      <w:pPr>
        <w:spacing w:after="160"/>
      </w:pPr>
      <w:r>
        <w:t xml:space="preserve">President Obama told an interviewer in 2009 that the individual mandate was "absolutely not a tax increase." At argument, Justice Scalia asked the Solicitor General to reconcile that statement with the government's alternative defense of the mandate under the taxing power. The Court upheld the mandate as a tax without addressing the President's statement. The government's formal position controlled.</w:t>
      </w:r>
    </w:p>
    <w:p>
      <w:pPr>
        <w:pStyle w:val="Heading3"/>
        <w:spacing w:after="120" w:before="240"/>
      </w:pPr>
      <w:r>
        <w:rPr>
          <w:b/>
          <w:bCs/>
        </w:rPr>
        <w:t xml:space="preserve">DAPA: Texas v. United States</w:t>
      </w:r>
    </w:p>
    <w:p>
      <w:pPr>
        <w:spacing w:after="160"/>
      </w:pPr>
      <w:r>
        <w:t xml:space="preserve">The 2014 Deferred Action for Parents of Americans and Lawful Permanent Residents (DAPA) program, created by DHS memorandum, was challenged as a legislative rule issued without notice and comment under the APA, 5 U.S.C. § 553, and as contrary to the Immigration and Nationality Act. The district court relied in part on the President's public statements, including "I just took action to change the law," to reject the government's characterization of the program as an exercise of enforcement discretion.</w:t>
      </w:r>
      <w:r>
        <w:rPr>
          <w:i/>
          <w:iCs/>
        </w:rPr>
        <w:t xml:space="preserve">Texas v. United States</w:t>
      </w:r>
      <w:r>
        <w:t xml:space="preserve">, 86 F. Supp. 3d 591 (S.D. Tex. 2015), aff'd, 809 F.3d 134 (5th Cir. 2015), aff'd by an equally divided Court, 579 U.S. 547 (2016) (per curiam). DHS rescinded the DAPA memorandum in June 2017.</w:t>
      </w:r>
    </w:p>
    <w:p>
      <w:pPr>
        <w:pStyle w:val="Heading3"/>
        <w:spacing w:after="120" w:before="240"/>
      </w:pPr>
      <w:r>
        <w:rPr>
          <w:b/>
          <w:bCs/>
        </w:rPr>
        <w:t xml:space="preserve">Sanctuary Jurisdictions</w:t>
      </w:r>
    </w:p>
    <w:p>
      <w:pPr>
        <w:spacing w:after="160"/>
      </w:pPr>
      <w:r>
        <w:t xml:space="preserve">Executive Order 13768, § 9(a) (Jan. 25, 2017), directed that "sanctuary jurisdictions" not receive federal grants. The government argued that the order only restated existing conditions, such as compliance with 8 U.S.C. § 1373. Relying in part on statements by the President and the Attorney General, the district court read the order to impose new funding conditions and held that it violated the separation of powers and the Spending Clause.</w:t>
      </w:r>
      <w:r>
        <w:rPr>
          <w:i/>
          <w:iCs/>
        </w:rPr>
        <w:t xml:space="preserve">County of Santa Clara v. Trump</w:t>
      </w:r>
      <w:r>
        <w:t xml:space="preserve">, 250 F. Supp. 3d 497 (N.D. Cal. 2017) (preliminary injunction); 275 F. Supp. 3d 1196 (N.D. Cal. 2017) (permanent injunction). The Ninth Circuit affirmed in large part but vacated the nationwide scope of the injunction.</w:t>
      </w:r>
      <w:r>
        <w:rPr>
          <w:i/>
          <w:iCs/>
        </w:rPr>
        <w:t xml:space="preserve">City &amp; County of San Francisco v. Trump</w:t>
      </w:r>
      <w:r>
        <w:t xml:space="preserve">, 897 F.3d 1225 (9th Cir. 2018).</w:t>
      </w:r>
    </w:p>
    <w:p>
      <w:pPr>
        <w:pStyle w:val="Heading2"/>
        <w:spacing w:after="120" w:before="240"/>
      </w:pPr>
      <w:r>
        <w:rPr>
          <w:b/>
          <w:bCs/>
        </w:rPr>
        <w:t xml:space="preserve">The Intent Exception</w:t>
      </w:r>
    </w:p>
    <w:p>
      <w:pPr>
        <w:pStyle w:val="Heading3"/>
        <w:spacing w:after="120" w:before="240"/>
      </w:pPr>
      <w:r>
        <w:rPr>
          <w:b/>
          <w:bCs/>
        </w:rPr>
        <w:t xml:space="preserve">Doctrines That Turn on Motive</w:t>
      </w:r>
    </w:p>
    <w:p>
      <w:pPr>
        <w:spacing w:after="160"/>
      </w:pPr>
      <w:r>
        <w:t xml:space="preserve">A facially neutral law violates equal protection if adopted because of, not merely in spite of, its discriminatory effect.</w:t>
      </w:r>
      <w:r>
        <w:rPr>
          <w:i/>
          <w:iCs/>
        </w:rPr>
        <w:t xml:space="preserve">Personnel Administrator v. Feeney</w:t>
      </w:r>
      <w:r>
        <w:t xml:space="preserve">, 442 U.S. 256, 279 (1979). Relevant evidence includes historical background, the sequence of events, departures from normal procedure, and "contemporary statements by members of the decisionmaking body."</w:t>
      </w:r>
      <w:r>
        <w:rPr>
          <w:i/>
          <w:iCs/>
        </w:rPr>
        <w:t xml:space="preserve">Village of Arlington Heights v. Metropolitan Housing Development Corp.</w:t>
      </w:r>
      <w:r>
        <w:t xml:space="preserve">, 429 U.S. 252, 266–68 (1977). The same inquiry applies to religious targeting.</w:t>
      </w:r>
      <w:r>
        <w:rPr>
          <w:i/>
          <w:iCs/>
        </w:rPr>
        <w:t xml:space="preserve">Church of the Lukumi Babalu Aye, Inc. v. City of Hialeah</w:t>
      </w:r>
      <w:r>
        <w:t xml:space="preserve">, 508 U.S. 520 (1993) (invalidating ordinances aimed at Santeria animal sacrifice); see also</w:t>
      </w:r>
      <w:r>
        <w:rPr>
          <w:i/>
          <w:iCs/>
        </w:rPr>
        <w:t xml:space="preserve">Masterpiece Cakeshop, Ltd. v. Colorado Civil Rights Commission</w:t>
      </w:r>
      <w:r>
        <w:t xml:space="preserve">, 584 U.S. 617 (2018) (official hostility toward religion). Establishment Clause purpose analysis likewise examined official statements.</w:t>
      </w:r>
      <w:r>
        <w:rPr>
          <w:i/>
          <w:iCs/>
        </w:rPr>
        <w:t xml:space="preserve">McCreary County v. ACLU of Kentucky</w:t>
      </w:r>
      <w:r>
        <w:t xml:space="preserve">, 545 U.S. 844 (2005).</w:t>
      </w:r>
    </w:p>
    <w:p>
      <w:pPr>
        <w:pStyle w:val="Heading3"/>
        <w:spacing w:after="120" w:before="240"/>
      </w:pPr>
      <w:r>
        <w:rPr>
          <w:b/>
          <w:bCs/>
        </w:rPr>
        <w:t xml:space="preserve">Applying the Doctrine to the President</w:t>
      </w:r>
    </w:p>
    <w:p>
      <w:pPr>
        <w:spacing w:after="160"/>
      </w:pPr>
      <w:r>
        <w:t xml:space="preserve">Professor Shaw argues there is no principled reason to treat presidential motive differently from legislative motive, particularly for an executive order, whose only author is the President. She proposes limits. Statements should be closely connected in subject and time to the challenged action. A demonstrated break, shown through both statements and conduct, may render earlier statements irrelevant. And courts should not search a president's entire prior public or litigation record for isolated remarks.</w:t>
      </w:r>
    </w:p>
    <w:p>
      <w:pPr>
        <w:pStyle w:val="Heading3"/>
        <w:spacing w:after="120" w:before="240"/>
      </w:pPr>
      <w:r>
        <w:rPr>
          <w:b/>
          <w:bCs/>
        </w:rPr>
        <w:t xml:space="preserve">Immigration and the "Facially Legitimate" Standard</w:t>
      </w:r>
    </w:p>
    <w:p>
      <w:pPr>
        <w:spacing w:after="160"/>
      </w:pPr>
      <w:r>
        <w:t xml:space="preserve">In the travel ban cases, the government invoked</w:t>
      </w:r>
      <w:r>
        <w:rPr>
          <w:i/>
          <w:iCs/>
        </w:rPr>
        <w:t xml:space="preserve">Kleindienst v. Mandel</w:t>
      </w:r>
      <w:r>
        <w:t xml:space="preserve">, 408 U.S. 753, 770 (1972), under which courts do not look behind a "facially legitimate and bona fide" reason for an immigration decision. See also</w:t>
      </w:r>
      <w:r>
        <w:rPr>
          <w:i/>
          <w:iCs/>
        </w:rPr>
        <w:t xml:space="preserve">Kerry v. Din</w:t>
      </w:r>
      <w:r>
        <w:t xml:space="preserve">, 576 U.S. 86 (2015) (Kennedy, J., concurring in judgment). The Fourth Circuit relied on campaign and post-inauguration statements to find likely religious purpose.</w:t>
      </w:r>
      <w:r>
        <w:rPr>
          <w:i/>
          <w:iCs/>
        </w:rPr>
        <w:t xml:space="preserve">International Refugee Assistance Project v. Trump</w:t>
      </w:r>
      <w:r>
        <w:t xml:space="preserve">, 857 F.3d 554 (4th Cir. 2017) (en banc). The Ninth Circuit rested on statutory grounds.</w:t>
      </w:r>
      <w:r>
        <w:rPr>
          <w:i/>
          <w:iCs/>
        </w:rPr>
        <w:t xml:space="preserve">Hawaii v. Trump</w:t>
      </w:r>
      <w:r>
        <w:t xml:space="preserve">, 859 F.3d 741 (9th Cir. 2017) (per curiam).</w:t>
      </w:r>
    </w:p>
    <w:p>
      <w:pPr>
        <w:pStyle w:val="Heading2"/>
        <w:spacing w:after="120" w:before="240"/>
      </w:pPr>
      <w:r>
        <w:rPr>
          <w:b/>
          <w:bCs/>
        </w:rPr>
        <w:t xml:space="preserve">National Security and Foreign Affairs</w:t>
      </w:r>
    </w:p>
    <w:p>
      <w:pPr>
        <w:spacing w:after="160"/>
      </w:pPr>
      <w:r>
        <w:t xml:space="preserve">Presidential statements about foreign affairs and national security are typically developed through an interagency process alongside the underlying decisions, which supports giving them weight. Litigation over the targeted killing of U.S. citizen Anwar al-Awlaki illustrates how such matters can reach the courts.</w:t>
      </w:r>
      <w:r>
        <w:rPr>
          <w:i/>
          <w:iCs/>
        </w:rPr>
        <w:t xml:space="preserve">Al-Aulaqi v. Obama</w:t>
      </w:r>
      <w:r>
        <w:t xml:space="preserve">, 727 F. Supp. 2d 1 (D.D.C. 2010) (dismissing pre-strike challenge on standing and political question grounds);</w:t>
      </w:r>
      <w:r>
        <w:rPr>
          <w:i/>
          <w:iCs/>
        </w:rPr>
        <w:t xml:space="preserve">Al-Aulaqi v. Panetta</w:t>
      </w:r>
      <w:r>
        <w:t xml:space="preserve">, 35 F. Supp. 3d 56 (D.D.C. 2014) (dismissing post-strike</w:t>
      </w:r>
      <w:r>
        <w:rPr>
          <w:i/>
          <w:iCs/>
        </w:rPr>
        <w:t xml:space="preserve">Bivens</w:t>
      </w:r>
      <w:r>
        <w:t xml:space="preserve">claims).</w:t>
      </w:r>
    </w:p>
    <w:p>
      <w:pPr>
        <w:pStyle w:val="Heading2"/>
        <w:spacing w:after="120" w:before="240"/>
      </w:pPr>
      <w:r>
        <w:rPr>
          <w:b/>
          <w:bCs/>
        </w:rPr>
        <w:t xml:space="preserve">A Framework for Weighing Presidential Speech</w:t>
      </w:r>
    </w:p>
    <w:p>
      <w:pPr>
        <w:pStyle w:val="ListParagraph"/>
        <w:numPr>
          <w:ilvl w:val="0"/>
          <w:numId w:val="1"/>
        </w:numPr>
        <w:spacing w:after="80"/>
      </w:pPr>
      <w:r>
        <w:rPr>
          <w:b/>
          <w:bCs/>
        </w:rPr>
        <w:t xml:space="preserve">Formality and process:</w:t>
      </w:r>
      <w:r>
        <w:t xml:space="preserve">Vetted documents such as executive orders, DOJ briefs, State of the Union addresses, and formal statements outweigh interviews, rallies, and social media posts.</w:t>
      </w:r>
    </w:p>
    <w:p>
      <w:pPr>
        <w:pStyle w:val="ListParagraph"/>
        <w:numPr>
          <w:ilvl w:val="0"/>
          <w:numId w:val="1"/>
        </w:numPr>
        <w:spacing w:after="80"/>
      </w:pPr>
      <w:r>
        <w:rPr>
          <w:b/>
          <w:bCs/>
        </w:rPr>
        <w:t xml:space="preserve">Conflict:</w:t>
      </w:r>
      <w:r>
        <w:t xml:space="preserve">Where informal statements conflict with the government's formal legal position on an interpretive question, the formal position should generally control.</w:t>
      </w:r>
    </w:p>
    <w:p>
      <w:pPr>
        <w:pStyle w:val="ListParagraph"/>
        <w:numPr>
          <w:ilvl w:val="0"/>
          <w:numId w:val="1"/>
        </w:numPr>
        <w:spacing w:after="80"/>
      </w:pPr>
      <w:r>
        <w:rPr>
          <w:b/>
          <w:bCs/>
        </w:rPr>
        <w:t xml:space="preserve">Motive:</w:t>
      </w:r>
      <w:r>
        <w:t xml:space="preserve">Where official motive is an element of the claim, presidential statements are relevant evidence, subject to limits of temporal and substantive connection.</w:t>
      </w:r>
    </w:p>
    <w:p>
      <w:pPr>
        <w:pStyle w:val="ListParagraph"/>
        <w:numPr>
          <w:ilvl w:val="0"/>
          <w:numId w:val="1"/>
        </w:numPr>
        <w:spacing w:after="80"/>
      </w:pPr>
      <w:r>
        <w:rPr>
          <w:b/>
          <w:bCs/>
        </w:rPr>
        <w:t xml:space="preserve">Neutrality:</w:t>
      </w:r>
      <w:r>
        <w:t xml:space="preserve">Rules should apply consistently regardless of the individual president's communication style.</w:t>
      </w:r>
    </w:p>
    <w:p>
      <w:pPr>
        <w:pStyle w:val="Heading2"/>
        <w:spacing w:after="120" w:before="240"/>
      </w:pPr>
      <w:r>
        <w:rPr>
          <w:b/>
          <w:bCs/>
        </w:rPr>
        <w:t xml:space="preserve">Developments to Know</w:t>
      </w:r>
    </w:p>
    <w:p>
      <w:pPr>
        <w:pStyle w:val="ListParagraph"/>
        <w:numPr>
          <w:ilvl w:val="0"/>
          <w:numId w:val="1"/>
        </w:numPr>
        <w:spacing w:after="80"/>
      </w:pPr>
      <w:r>
        <w:rPr>
          <w:b/>
          <w:bCs/>
        </w:rPr>
        <w:t xml:space="preserve">&lt;em&gt;Trump v. Hawaii&lt;/em&gt;, 585 U.S. 667 (2018).</w:t>
      </w:r>
      <w:r>
        <w:t xml:space="preserve">The Court upheld Proclamation 9645, 5–4. It assumed it could consider extrinsic evidence, including the President's statements, but applied rational-basis review and held that the proclamation was "plausibly related to the Government's stated objective to protect the country." Justice Sotomayor, dissenting, argued that a reasonable observer would conclude the policy was motivated by anti-Muslim animus.</w:t>
      </w:r>
    </w:p>
    <w:p>
      <w:pPr>
        <w:pStyle w:val="ListParagraph"/>
        <w:numPr>
          <w:ilvl w:val="0"/>
          <w:numId w:val="1"/>
        </w:numPr>
        <w:spacing w:after="80"/>
      </w:pPr>
      <w:r>
        <w:rPr>
          <w:b/>
          <w:bCs/>
        </w:rPr>
        <w:t xml:space="preserve">&lt;em&gt;Department of Commerce v. New York&lt;/em&gt;, 588 U.S. 752 (2019).</w:t>
      </w:r>
      <w:r>
        <w:t xml:space="preserve">The Court held that the Secretary's stated rationale for adding a citizenship question to the census was "contrived," and affirmed remand to the agency. The decision confirms that courts may look behind an official explanation when the record shows pretext.</w:t>
      </w:r>
    </w:p>
    <w:p>
      <w:pPr>
        <w:pStyle w:val="ListParagraph"/>
        <w:numPr>
          <w:ilvl w:val="0"/>
          <w:numId w:val="1"/>
        </w:numPr>
        <w:spacing w:after="80"/>
      </w:pPr>
      <w:r>
        <w:rPr>
          <w:b/>
          <w:bCs/>
        </w:rPr>
        <w:t xml:space="preserve">&lt;em&gt;DHS v. Regents of the University of California&lt;/em&gt;, 591 U.S. 1 (2020).</w:t>
      </w:r>
      <w:r>
        <w:t xml:space="preserve">The Court held that the rescission of DACA was arbitrary and capricious under the APA. A four-Justice plurality rejected an equal protection claim resting on the President's statements about Latino immigrants, reasoning that they were "remote in time and made in unrelated contexts."</w:t>
      </w:r>
    </w:p>
    <w:p>
      <w:pPr>
        <w:pStyle w:val="ListParagraph"/>
        <w:numPr>
          <w:ilvl w:val="0"/>
          <w:numId w:val="1"/>
        </w:numPr>
        <w:spacing w:after="80"/>
      </w:pPr>
      <w:r>
        <w:rPr>
          <w:b/>
          <w:bCs/>
        </w:rPr>
        <w:t xml:space="preserve">&lt;em&gt;Loper Bright Enterprises v. Raimondo&lt;/em&gt;, 603 U.S. 369 (2024).</w:t>
      </w:r>
      <w:r>
        <w:t xml:space="preserve">Overruling</w:t>
      </w:r>
      <w:r>
        <w:rPr>
          <w:i/>
          <w:iCs/>
        </w:rPr>
        <w:t xml:space="preserve">Chevron</w:t>
      </w:r>
      <w:r>
        <w:t xml:space="preserve">, the Court held that courts must exercise independent judgment on statutory meaning, which reduces deference to executive interpretations generally.</w:t>
      </w:r>
    </w:p>
    <w:p>
      <w:pPr>
        <w:pStyle w:val="ListParagraph"/>
        <w:numPr>
          <w:ilvl w:val="0"/>
          <w:numId w:val="1"/>
        </w:numPr>
        <w:spacing w:after="80"/>
      </w:pPr>
      <w:r>
        <w:rPr>
          <w:b/>
          <w:bCs/>
        </w:rPr>
        <w:t xml:space="preserve">&lt;em&gt;Trump v. CASA, Inc.&lt;/em&gt; (2025).</w:t>
      </w:r>
      <w:r>
        <w:t xml:space="preserve">The Court held that universal injunctions likely exceed the equitable authority Congress has given federal courts, which changes how challenges to executive orders are litigated and remedied.</w:t>
      </w:r>
    </w:p>
    <w:p>
      <w:pPr>
        <w:pStyle w:val="ListParagraph"/>
        <w:numPr>
          <w:ilvl w:val="0"/>
          <w:numId w:val="1"/>
        </w:numPr>
        <w:spacing w:after="80"/>
      </w:pPr>
      <w:r>
        <w:rPr>
          <w:b/>
          <w:bCs/>
        </w:rPr>
        <w:t xml:space="preserve">Second-term litigation.</w:t>
      </w:r>
      <w:r>
        <w:t xml:space="preserve">Challenges to executive orders on immigration, sanctuary jurisdictions, and conditions on federal funding have returned, again raising how much weight courts should give the President's public statements in determining an order's meaning and purpose. New entry restrictions proclaimed in June and December 2025 are again being evaluated under</w:t>
      </w:r>
      <w:r>
        <w:rPr>
          <w:i/>
          <w:iCs/>
        </w:rPr>
        <w:t xml:space="preserve">Trump v. Hawaii</w:t>
      </w:r>
      <w:r>
        <w:t xml:space="preserve">.</w:t>
      </w:r>
    </w:p>
    <w:p>
      <w:pPr>
        <w:pStyle w:val="ListParagraph"/>
        <w:numPr>
          <w:ilvl w:val="0"/>
          <w:numId w:val="1"/>
        </w:numPr>
        <w:spacing w:after="80"/>
      </w:pPr>
      <w:r>
        <w:rPr>
          <w:b/>
          <w:bCs/>
        </w:rPr>
        <w:t xml:space="preserve">&lt;em&gt;Trump v. Barbara&lt;/em&gt; (June 30, 2026).</w:t>
      </w:r>
      <w:r>
        <w:t xml:space="preserve">The Court held that Executive Order 14160, which sought to deny birthright citizenship to children of unauthorized immigrants and certain temporary visa holders, is unlawful. Chief Justice Roberts, writing for five Justices, held that the order violates the Citizenship Clause; Justice Kavanaugh concurred on statutory grounds; Justices Thomas, Alito, and Gorsuch dissented.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2026-09-28T18:12:31.252Z</dcterms:created>
  <dcterms:modified xsi:type="dcterms:W3CDTF">2026-09-28T18:12:31.253Z</dcterms:modified>
</cp:coreProperties>
</file>

<file path=docProps/custom.xml><?xml version="1.0" encoding="utf-8"?>
<Properties xmlns="http://schemas.openxmlformats.org/officeDocument/2006/custom-properties" xmlns:vt="http://schemas.openxmlformats.org/officeDocument/2006/docPropsVTypes"/>
</file>