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Food Labels - What Are You Eating?</w:t>
      </w:r>
    </w:p>
    <w:p>
      <w:pPr>
        <w:spacing w:after="200"/>
      </w:pPr>
      <w:r>
        <w:rPr>
          <w:rFonts w:ascii="Montserrat" w:cs="Montserrat" w:eastAsia="Montserrat" w:hAnsi="Montserrat"/>
          <w:b/>
          <w:bCs/>
          <w:color w:val="E87722"/>
          <w:sz w:val="24"/>
          <w:szCs w:val="24"/>
        </w:rPr>
        <w:t xml:space="preserve">Lauren Handel</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surveys the federal law of food labeling and the litigation it generates. It covers the division of authority between the Food and Drug Administration (FDA) and the U.S. Department of Agriculture (USDA), the prohibition on misbranding, standards of identity, the National Organic Program, defined and undefined label claims (including "healthy," "natural," "free-range," and "grass-fed"), nutrient content claims, juice and "milk" labeling, consumer class actions under state law, competitor suits under the Lanham Act, and FDA enforcement.</w:t>
      </w:r>
    </w:p>
    <w:p>
      <w:pPr>
        <w:pStyle w:val="Heading2"/>
        <w:spacing w:after="120" w:before="240"/>
      </w:pPr>
      <w:r>
        <w:rPr>
          <w:b/>
          <w:bCs/>
        </w:rPr>
        <w:t xml:space="preserve">Learning Objectives</w:t>
      </w:r>
    </w:p>
    <w:p>
      <w:pPr>
        <w:pStyle w:val="ListParagraph"/>
        <w:numPr>
          <w:ilvl w:val="0"/>
          <w:numId w:val="1"/>
        </w:numPr>
        <w:spacing w:after="80"/>
      </w:pPr>
      <w:r>
        <w:t xml:space="preserve">Identify which agency regulates a given food product and how label review differs between FDA and USDA.</w:t>
      </w:r>
    </w:p>
    <w:p>
      <w:pPr>
        <w:pStyle w:val="ListParagraph"/>
        <w:numPr>
          <w:ilvl w:val="0"/>
          <w:numId w:val="1"/>
        </w:numPr>
        <w:spacing w:after="80"/>
      </w:pPr>
      <w:r>
        <w:t xml:space="preserve">Apply the "false or misleading" misbranding standard, including the rule that a literally true claim may still be misleading.</w:t>
      </w:r>
    </w:p>
    <w:p>
      <w:pPr>
        <w:pStyle w:val="ListParagraph"/>
        <w:numPr>
          <w:ilvl w:val="0"/>
          <w:numId w:val="1"/>
        </w:numPr>
        <w:spacing w:after="80"/>
      </w:pPr>
      <w:r>
        <w:t xml:space="preserve">Distinguish claims defined by regulation (organic, healthy, nutrient content claims, juice) from claims that are only subject to the general truthfulness requirement (natural, wholesome, most animal-welfare claims).</w:t>
      </w:r>
    </w:p>
    <w:p>
      <w:pPr>
        <w:pStyle w:val="ListParagraph"/>
        <w:numPr>
          <w:ilvl w:val="0"/>
          <w:numId w:val="1"/>
        </w:numPr>
        <w:spacing w:after="80"/>
      </w:pPr>
      <w:r>
        <w:t xml:space="preserve">Analyze consumer class actions under the reasonable-consumer standard, including pleading, damages, and preemption issues.</w:t>
      </w:r>
    </w:p>
    <w:p>
      <w:pPr>
        <w:pStyle w:val="ListParagraph"/>
        <w:numPr>
          <w:ilvl w:val="0"/>
          <w:numId w:val="1"/>
        </w:numPr>
        <w:spacing w:after="80"/>
      </w:pPr>
      <w:r>
        <w:t xml:space="preserve">Explain the relationship between the Food, Drug, and Cosmetic Act and the Lanham Act after</w:t>
      </w:r>
      <w:r>
        <w:rPr>
          <w:i/>
          <w:iCs/>
        </w:rPr>
        <w:t xml:space="preserve">POM Wonderful LLC v. Coca-Cola Co.</w:t>
      </w:r>
    </w:p>
    <w:p>
      <w:pPr>
        <w:pStyle w:val="Heading2"/>
        <w:spacing w:after="120" w:before="240"/>
      </w:pPr>
      <w:r>
        <w:rPr>
          <w:b/>
          <w:bCs/>
        </w:rPr>
        <w:t xml:space="preserve">The Regulatory Framework</w:t>
      </w:r>
    </w:p>
    <w:p>
      <w:pPr>
        <w:pStyle w:val="Heading3"/>
        <w:spacing w:after="120" w:before="240"/>
      </w:pPr>
      <w:r>
        <w:rPr>
          <w:b/>
          <w:bCs/>
        </w:rPr>
        <w:t xml:space="preserve">Agency Jurisdiction</w:t>
      </w:r>
    </w:p>
    <w:p>
      <w:pPr>
        <w:spacing w:after="160"/>
      </w:pPr>
      <w:r>
        <w:t xml:space="preserve">FDA regulates most packaged foods under the Federal Food, Drug, and Cosmetic Act (FDCA), 21 U.S.C. § 301 et seq., and does not pre-approve labels. USDA's Food Safety and Inspection Service (FSIS) regulates meat, poultry, and certain egg products under the Federal Meat Inspection Act, 21 U.S.C. § 601 et seq., and the Poultry Products Inspection Act, 21 U.S.C. § 451 et seq. FSIS approves labels before use, including special statements and claims. See 9 C.F.R. pt. 412. USDA's Agricultural Marketing Service (AMS) administers the National Organic Program.</w:t>
      </w:r>
    </w:p>
    <w:p>
      <w:pPr>
        <w:pStyle w:val="Heading3"/>
        <w:spacing w:after="120" w:before="240"/>
      </w:pPr>
      <w:r>
        <w:rPr>
          <w:b/>
          <w:bCs/>
        </w:rPr>
        <w:t xml:space="preserve">Misbranding</w:t>
      </w:r>
    </w:p>
    <w:p>
      <w:pPr>
        <w:spacing w:after="160"/>
      </w:pPr>
      <w:r>
        <w:t xml:space="preserve">A food is misbranded if "its labeling is false or misleading in any particular." 21 U.S.C. § 343(a)(1). Whether labeling is misleading takes into account not only what it says but also the extent to which it fails to reveal material facts. 21 U.S.C. § 321(n). The Nutrition Labeling and Education Act of 1990 (NLEA), Pub. L. No. 101-535, 104 Stat. 2353, added mandatory nutrition labeling and the framework for nutrient content and health claims. 21 U.S.C. § 343(q), (r).</w:t>
      </w:r>
    </w:p>
    <w:p>
      <w:pPr>
        <w:pStyle w:val="Heading3"/>
        <w:spacing w:after="120" w:before="240"/>
      </w:pPr>
      <w:r>
        <w:rPr>
          <w:b/>
          <w:bCs/>
        </w:rPr>
        <w:t xml:space="preserve">Standards of Identity</w:t>
      </w:r>
    </w:p>
    <w:p>
      <w:pPr>
        <w:spacing w:after="160"/>
      </w:pPr>
      <w:r>
        <w:t xml:space="preserve">Standards of identity, authorized by 21 U.S.C. § 341, define what a food must contain to bear a particular name, and were originally aimed at economic adulteration. See 21 C.F.R. pts. 130–169. For example, orange juice products are defined at 21 C.F.R. pt. 146 (e.g., § 146.135), and milk at 21 C.F.R. § 131.110.</w:t>
      </w:r>
    </w:p>
    <w:p>
      <w:pPr>
        <w:pStyle w:val="Heading2"/>
        <w:spacing w:after="120" w:before="240"/>
      </w:pPr>
      <w:r>
        <w:rPr>
          <w:b/>
          <w:bCs/>
        </w:rPr>
        <w:t xml:space="preserve">Organic Labeling</w:t>
      </w:r>
    </w:p>
    <w:p>
      <w:pPr>
        <w:spacing w:after="160"/>
      </w:pPr>
      <w:r>
        <w:t xml:space="preserve">The Organic Foods Production Act of 1990, 7 U.S.C. § 6501 et seq., and the National Organic Program regulations, 7 C.F.R. pt. 205, define organic production. Organic production excludes practices such as genetic engineering, most synthetic substances, ionizing radiation, and sewage sludge (7 C.F.R. § 205.105). Operations must be certified by a USDA-accredited certifying agent. The labeling tiers, 7 C.F.R. §§ 205.301–.303, are:</w:t>
      </w:r>
    </w:p>
    <w:p>
      <w:pPr>
        <w:pStyle w:val="ListParagraph"/>
        <w:numPr>
          <w:ilvl w:val="0"/>
          <w:numId w:val="1"/>
        </w:numPr>
        <w:spacing w:after="80"/>
      </w:pPr>
      <w:r>
        <w:rPr>
          <w:b/>
          <w:bCs/>
        </w:rPr>
        <w:t xml:space="preserve">"100 percent organic":</w:t>
      </w:r>
      <w:r>
        <w:t xml:space="preserve">all ingredients and processing aids are organic.</w:t>
      </w:r>
    </w:p>
    <w:p>
      <w:pPr>
        <w:pStyle w:val="ListParagraph"/>
        <w:numPr>
          <w:ilvl w:val="0"/>
          <w:numId w:val="1"/>
        </w:numPr>
        <w:spacing w:after="80"/>
      </w:pPr>
      <w:r>
        <w:rPr>
          <w:b/>
          <w:bCs/>
        </w:rPr>
        <w:t xml:space="preserve">"Organic":</w:t>
      </w:r>
      <w:r>
        <w:t xml:space="preserve">at least 95 percent organic ingredients (excluding water and salt); the remainder must appear on the National List (7 C.F.R. §§ 205.605–.606).</w:t>
      </w:r>
    </w:p>
    <w:p>
      <w:pPr>
        <w:pStyle w:val="ListParagraph"/>
        <w:numPr>
          <w:ilvl w:val="0"/>
          <w:numId w:val="1"/>
        </w:numPr>
        <w:spacing w:after="80"/>
      </w:pPr>
      <w:r>
        <w:rPr>
          <w:b/>
          <w:bCs/>
        </w:rPr>
        <w:t xml:space="preserve">"Made with organic (specified ingredients or food groups)":</w:t>
      </w:r>
      <w:r>
        <w:t xml:space="preserve">at least 70 percent organic ingredients; the USDA seal may not be used.</w:t>
      </w:r>
    </w:p>
    <w:p>
      <w:pPr>
        <w:spacing w:after="160"/>
      </w:pPr>
      <w:r>
        <w:t xml:space="preserve">Organic livestock must be fed 100 percent organic feed. 7 C.F.R. § 205.237.</w:t>
      </w:r>
    </w:p>
    <w:p>
      <w:pPr>
        <w:pStyle w:val="Heading2"/>
        <w:spacing w:after="120" w:before="240"/>
      </w:pPr>
      <w:r>
        <w:rPr>
          <w:b/>
          <w:bCs/>
        </w:rPr>
        <w:t xml:space="preserve">Defined Claims</w:t>
      </w:r>
    </w:p>
    <w:p>
      <w:pPr>
        <w:pStyle w:val="Heading3"/>
        <w:spacing w:after="120" w:before="240"/>
      </w:pPr>
      <w:r>
        <w:rPr>
          <w:b/>
          <w:bCs/>
        </w:rPr>
        <w:t xml:space="preserve">Nutrient Content Claims</w:t>
      </w:r>
    </w:p>
    <w:p>
      <w:pPr>
        <w:spacing w:after="160"/>
      </w:pPr>
      <w:r>
        <w:t xml:space="preserve">A nutrient content claim expressly or implicitly characterizes the level of a nutrient. Such claims may use only terms FDA has defined and only when the food meets the definition. 21 C.F.R. § 101.13. "Good source," "contains," or "provides" requires 10 to 19 percent of the Daily Value per reference amount, and "high," "rich in," or "excellent source of" requires 20 percent or more. 21 C.F.R. § 101.54(b)–(c). Unapproved synonyms are not permitted.</w:t>
      </w:r>
    </w:p>
    <w:p>
      <w:pPr>
        <w:pStyle w:val="Heading3"/>
        <w:spacing w:after="120" w:before="240"/>
      </w:pPr>
      <w:r>
        <w:rPr>
          <w:b/>
          <w:bCs/>
        </w:rPr>
        <w:t xml:space="preserve">Antioxidant Claims</w:t>
      </w:r>
    </w:p>
    <w:p>
      <w:pPr>
        <w:spacing w:after="160"/>
      </w:pPr>
      <w:r>
        <w:t xml:space="preserve">An antioxidant nutrient content claim may be made only for nutrients with an established Reference Daily Intake and recognized antioxidant activity, such as vitamins C and E and beta-carotene. 21 C.F.R. § 101.54(g). Claims based on compounds outside those criteria, such as certain polyphenols, have been the subject of FDA warning letters and consumer suits.</w:t>
      </w:r>
    </w:p>
    <w:p>
      <w:pPr>
        <w:pStyle w:val="Heading3"/>
        <w:spacing w:after="120" w:before="240"/>
      </w:pPr>
      <w:r>
        <w:rPr>
          <w:b/>
          <w:bCs/>
        </w:rPr>
        <w:t xml:space="preserve">"Healthy"</w:t>
      </w:r>
    </w:p>
    <w:p>
      <w:pPr>
        <w:spacing w:after="160"/>
      </w:pPr>
      <w:r>
        <w:t xml:space="preserve">"Healthy" and related terms used in a nutrient context form an implied nutrient content claim governed by 21 C.F.R. § 101.65(d). Under the criteria then in effect, limits on total and saturated fat kept many nut-based products from qualifying. That was the basis of FDA's 2015 warning letter to KIND LLC, which prompted follow-on consumer class actions consolidated as</w:t>
      </w:r>
      <w:r>
        <w:rPr>
          <w:i/>
          <w:iCs/>
        </w:rPr>
        <w:t xml:space="preserve">In re KIND LLC "Healthy &amp; All Natural" Litigation</w:t>
      </w:r>
      <w:r>
        <w:t xml:space="preserve">, No. 15-md-2645 (S.D.N.Y.).</w:t>
      </w:r>
    </w:p>
    <w:p>
      <w:pPr>
        <w:pStyle w:val="Heading3"/>
        <w:spacing w:after="120" w:before="240"/>
      </w:pPr>
      <w:r>
        <w:rPr>
          <w:b/>
          <w:bCs/>
        </w:rPr>
        <w:t xml:space="preserve">Juice</w:t>
      </w:r>
    </w:p>
    <w:p>
      <w:pPr>
        <w:spacing w:after="160"/>
      </w:pPr>
      <w:r>
        <w:t xml:space="preserve">A beverage that purports to contain fruit or vegetable juice must declare its percentage of juice. 21 C.F.R. § 101.30. A product that is less than 100 percent juice must be named with a term such as "drink," "beverage," or "cocktail," and a named juice that is not the predominant juice must be qualified (e.g., "flavored juice blend") or its percentage stated. 21 C.F.R. § 102.33.</w:t>
      </w:r>
    </w:p>
    <w:p>
      <w:pPr>
        <w:pStyle w:val="Heading3"/>
        <w:spacing w:after="120" w:before="240"/>
      </w:pPr>
      <w:r>
        <w:rPr>
          <w:b/>
          <w:bCs/>
        </w:rPr>
        <w:t xml:space="preserve">Meat and Poultry Claims</w:t>
      </w:r>
    </w:p>
    <w:p>
      <w:pPr>
        <w:spacing w:after="160"/>
      </w:pPr>
      <w:r>
        <w:t xml:space="preserve">FSIS permits "free-range" or "free-roaming" on poultry when the producer shows the birds were allowed access to the outdoors. Most animal-raising claims are approved on the basis of the producer's own documentation. AMS withdrew its voluntary grass-fed marketing claim standard in January 2016, leaving the term to be substantiated through FSIS label approval. Third-party certification programs such as Animal Welfare Approved set independent standards and audit compliance.</w:t>
      </w:r>
    </w:p>
    <w:p>
      <w:pPr>
        <w:pStyle w:val="Heading2"/>
        <w:spacing w:after="120" w:before="240"/>
      </w:pPr>
      <w:r>
        <w:rPr>
          <w:b/>
          <w:bCs/>
        </w:rPr>
        <w:t xml:space="preserve">Undefined Claims: "Natural" and Beyond</w:t>
      </w:r>
    </w:p>
    <w:p>
      <w:pPr>
        <w:spacing w:after="160"/>
      </w:pPr>
      <w:r>
        <w:t xml:space="preserve">FDA has not defined "natural" by regulation. Its longstanding policy is that "natural" means nothing artificial or synthetic, including any added color, has been included in or added to a food that would not normally be expected to be there. See 58 Fed. Reg. 2302, 2407 (Jan. 6, 1993). FSIS separately permits "natural" on meat and poultry that contain no artificial ingredients and are no more than minimally processed. Terms such as "wholesome," "nutritious," and "good for you" are subject only to the general requirement that labeling not be false or misleading, and manufacturers should have a reasonable basis for them. Litigated "natural" cases have involved alkalized cocoa (Ben &amp; Jerry's), genetically engineered and synthetic ingredients (</w:t>
      </w:r>
      <w:r>
        <w:rPr>
          <w:i/>
          <w:iCs/>
        </w:rPr>
        <w:t xml:space="preserve">Pappas v. Naked Juice Co.</w:t>
      </w:r>
      <w:r>
        <w:t xml:space="preserve">, No. 2:11-cv-08276 (C.D. Cal.), settled for $9 million), and high-fructose corn syrup.</w:t>
      </w:r>
    </w:p>
    <w:p>
      <w:pPr>
        <w:pStyle w:val="Heading2"/>
        <w:spacing w:after="120" w:before="240"/>
      </w:pPr>
      <w:r>
        <w:rPr>
          <w:b/>
          <w:bCs/>
        </w:rPr>
        <w:t xml:space="preserve">Consumer Class Actions</w:t>
      </w:r>
    </w:p>
    <w:p>
      <w:pPr>
        <w:pStyle w:val="Heading3"/>
        <w:spacing w:after="120" w:before="240"/>
      </w:pPr>
      <w:r>
        <w:rPr>
          <w:b/>
          <w:bCs/>
        </w:rPr>
        <w:t xml:space="preserve">No Private Right Under the FDCA</w:t>
      </w:r>
    </w:p>
    <w:p>
      <w:pPr>
        <w:spacing w:after="160"/>
      </w:pPr>
      <w:r>
        <w:t xml:space="preserve">The FDCA is enforced only by the United States. 21 U.S.C. § 337(a). Private plaintiffs sue under state consumer protection statutes instead. California's Sherman Food, Drug, and Cosmetic Law, Cal. Health &amp; Safety Code § 109875 et seq., adopts federal labeling requirements as state law, and consumers enforce them through the Unfair Competition Law, Cal. Bus. &amp; Prof. Code § 17200, and the Consumers Legal Remedies Act. The NLEA's express preemption provision, 21 U.S.C. § 343-1, bars state requirements that are "not identical to" certain federal requirements, which confines many claims to theories that parallel federal law.</w:t>
      </w:r>
    </w:p>
    <w:p>
      <w:pPr>
        <w:pStyle w:val="Heading3"/>
        <w:spacing w:after="120" w:before="240"/>
      </w:pPr>
      <w:r>
        <w:rPr>
          <w:b/>
          <w:bCs/>
        </w:rPr>
        <w:t xml:space="preserve">The Reasonable-Consumer Standard</w:t>
      </w:r>
    </w:p>
    <w:p>
      <w:pPr>
        <w:spacing w:after="160"/>
      </w:pPr>
      <w:r>
        <w:t xml:space="preserve">The central question is whether a reasonable consumer would likely be deceived. See</w:t>
      </w:r>
      <w:r>
        <w:rPr>
          <w:i/>
          <w:iCs/>
        </w:rPr>
        <w:t xml:space="preserve">Williams v. Gerber Products Co.</w:t>
      </w:r>
      <w:r>
        <w:t xml:space="preserve">, 552 F.3d 934 (9th Cir. 2008) (a reasonable consumer is not expected to look beyond a misleading front label to the ingredient list to correct it). Most food-labeling complaints survive a motion to dismiss, but some fail as implausible as a matter of law:</w:t>
      </w:r>
    </w:p>
    <w:p>
      <w:pPr>
        <w:pStyle w:val="ListParagraph"/>
        <w:numPr>
          <w:ilvl w:val="0"/>
          <w:numId w:val="1"/>
        </w:numPr>
        <w:spacing w:after="80"/>
      </w:pPr>
      <w:r>
        <w:rPr>
          <w:i/>
          <w:iCs/>
        </w:rPr>
        <w:t xml:space="preserve">Sugawara v. PepsiCo, Inc.</w:t>
      </w:r>
      <w:r>
        <w:t xml:space="preserve">, No. 2:08-cv-01335, 2009 WL 1439115 (E.D. Cal. May 21, 2009) (dismissing claims that "Crunch Berries" implied real fruit).</w:t>
      </w:r>
    </w:p>
    <w:p>
      <w:pPr>
        <w:pStyle w:val="ListParagraph"/>
        <w:numPr>
          <w:ilvl w:val="0"/>
          <w:numId w:val="1"/>
        </w:numPr>
        <w:spacing w:after="80"/>
      </w:pPr>
      <w:r>
        <w:rPr>
          <w:i/>
          <w:iCs/>
        </w:rPr>
        <w:t xml:space="preserve">Ang v. WhiteWave Foods Co.</w:t>
      </w:r>
      <w:r>
        <w:t xml:space="preserve">, No. 13-cv-01953, 2013 WL 6492353 (N.D. Cal. Dec. 10, 2013) (no reasonable consumer would think "soy milk" contains dairy).</w:t>
      </w:r>
    </w:p>
    <w:p>
      <w:pPr>
        <w:pStyle w:val="ListParagraph"/>
        <w:numPr>
          <w:ilvl w:val="0"/>
          <w:numId w:val="1"/>
        </w:numPr>
        <w:spacing w:after="80"/>
      </w:pPr>
      <w:r>
        <w:rPr>
          <w:i/>
          <w:iCs/>
        </w:rPr>
        <w:t xml:space="preserve">Painter v. Blue Diamond Growers</w:t>
      </w:r>
      <w:r>
        <w:t xml:space="preserve">, 757 F. App'x 517 (9th Cir. 2018) (affirming dismissal of claims that "almond milk" is misleading or an imitation of dairy milk).</w:t>
      </w:r>
    </w:p>
    <w:p>
      <w:pPr>
        <w:pStyle w:val="Heading3"/>
        <w:spacing w:after="120" w:before="240"/>
      </w:pPr>
      <w:r>
        <w:rPr>
          <w:b/>
          <w:bCs/>
        </w:rPr>
        <w:t xml:space="preserve">Damages</w:t>
      </w:r>
    </w:p>
    <w:p>
      <w:pPr>
        <w:spacing w:after="160"/>
      </w:pPr>
      <w:r>
        <w:t xml:space="preserve">Plaintiffs typically seek the price premium attributable to the challenged claim, meaning the difference between the product's value as represented and as delivered. Proving that premium on a classwide basis, often through conjoint analysis or hedonic regression, is a frequent obstacle at class certification and summary judgment. See</w:t>
      </w:r>
      <w:r>
        <w:rPr>
          <w:i/>
          <w:iCs/>
        </w:rPr>
        <w:t xml:space="preserve">Comcast Corp. v. Behrend</w:t>
      </w:r>
      <w:r>
        <w:t xml:space="preserve">, 569 U.S. 27 (2013).</w:t>
      </w:r>
    </w:p>
    <w:p>
      <w:pPr>
        <w:pStyle w:val="Heading2"/>
        <w:spacing w:after="120" w:before="240"/>
      </w:pPr>
      <w:r>
        <w:rPr>
          <w:b/>
          <w:bCs/>
        </w:rPr>
        <w:t xml:space="preserve">Competitor Suits Under the Lanham Act</w:t>
      </w:r>
    </w:p>
    <w:p>
      <w:pPr>
        <w:spacing w:after="160"/>
      </w:pPr>
      <w:r>
        <w:t xml:space="preserve">Section 43(a) of the Lanham Act, 15 U.S.C. § 1125(a), gives competitors a cause of action for false or misleading commercial advertising. In</w:t>
      </w:r>
      <w:r>
        <w:rPr>
          <w:i/>
          <w:iCs/>
        </w:rPr>
        <w:t xml:space="preserve">POM Wonderful LLC v. Coca-Cola Co.</w:t>
      </w:r>
      <w:r>
        <w:t xml:space="preserve">, 573 U.S. 102 (2014), POM alleged that Coca-Cola's Minute Maid "Pomegranate Blueberry" product, which contained about 0.3 percent pomegranate juice and 0.2 percent blueberry juice, misled consumers through its name and imagery. The Court held 8–0 that the FDCA does not preclude Lanham Act claims challenging food labels regulated by the FDCA, because the statutes are complementary. On remand, a jury returned a verdict for Coca-Cola in 2016.</w:t>
      </w:r>
    </w:p>
    <w:p>
      <w:pPr>
        <w:pStyle w:val="Heading2"/>
        <w:spacing w:after="120" w:before="240"/>
      </w:pPr>
      <w:r>
        <w:rPr>
          <w:b/>
          <w:bCs/>
        </w:rPr>
        <w:t xml:space="preserve">FDA Enforcement</w:t>
      </w:r>
    </w:p>
    <w:p>
      <w:pPr>
        <w:spacing w:after="160"/>
      </w:pPr>
      <w:r>
        <w:t xml:space="preserve">FDA does not impose civil fines for food misbranding. Its most common response is a warning letter, an informal, advisory notice that identifies violations and requests a written response describing corrective action, usually within 15 working days. See FDA Regulatory Procedures Manual ch. 4. Formal remedies include seizure (21 U.S.C. § 334), injunction (§ 332), and criminal prosecution (§ 333). Warning letters are public and often lead to follow-on class actions.</w:t>
      </w:r>
    </w:p>
    <w:p>
      <w:pPr>
        <w:pStyle w:val="Heading2"/>
        <w:spacing w:after="120" w:before="240"/>
      </w:pPr>
      <w:r>
        <w:rPr>
          <w:b/>
          <w:bCs/>
        </w:rPr>
        <w:t xml:space="preserve">Developments to Know</w:t>
      </w:r>
    </w:p>
    <w:p>
      <w:pPr>
        <w:pStyle w:val="ListParagraph"/>
        <w:numPr>
          <w:ilvl w:val="0"/>
          <w:numId w:val="1"/>
        </w:numPr>
        <w:spacing w:after="80"/>
      </w:pPr>
      <w:r>
        <w:rPr>
          <w:b/>
          <w:bCs/>
        </w:rPr>
        <w:t xml:space="preserve">Redefined "healthy" claim.</w:t>
      </w:r>
      <w:r>
        <w:t xml:space="preserve">FDA's final rule, published December 27, 2024, amending 21 C.F.R. § 101.65, removes the total-fat limit. It requires a qualifying food to contain a minimum amount from at least one food group or subgroup recommended by the Dietary Guidelines for Americans, and to meet limits on added sugars, saturated fat, and sodium. Nuts, seeds, higher-fat fish, and oils can now qualify. The compliance date is February 25, 2028. FDA is developing a voluntary "healthy" symbol.</w:t>
      </w:r>
    </w:p>
    <w:p>
      <w:pPr>
        <w:pStyle w:val="ListParagraph"/>
        <w:numPr>
          <w:ilvl w:val="0"/>
          <w:numId w:val="1"/>
        </w:numPr>
        <w:spacing w:after="80"/>
      </w:pPr>
      <w:r>
        <w:rPr>
          <w:b/>
          <w:bCs/>
        </w:rPr>
        <w:t xml:space="preserve">Front-of-package labeling.</w:t>
      </w:r>
      <w:r>
        <w:t xml:space="preserve">In January 2025, FDA proposed requiring a "Nutrition Info" box on most packaged foods that rates saturated fat, sodium, and added sugars as "Low," "Med," or "High." The comment period closed July 15, 2025, and no final rule has issued.</w:t>
      </w:r>
    </w:p>
    <w:p>
      <w:pPr>
        <w:pStyle w:val="ListParagraph"/>
        <w:numPr>
          <w:ilvl w:val="0"/>
          <w:numId w:val="1"/>
        </w:numPr>
        <w:spacing w:after="80"/>
      </w:pPr>
      <w:r>
        <w:rPr>
          <w:b/>
          <w:bCs/>
        </w:rPr>
        <w:t xml:space="preserve">Plant-based milk alternatives.</w:t>
      </w:r>
      <w:r>
        <w:t xml:space="preserve">FDA's February 2023 draft guidance, Labeling of Plant-Based Milk Alternatives and Voluntary Nutrient Statements, accepts names such as "soy milk" and "almond milk" that identify the plant source. It recommends a voluntary statement comparing the product's nutrients to dairy milk.</w:t>
      </w:r>
    </w:p>
    <w:p>
      <w:pPr>
        <w:pStyle w:val="ListParagraph"/>
        <w:numPr>
          <w:ilvl w:val="0"/>
          <w:numId w:val="1"/>
        </w:numPr>
        <w:spacing w:after="80"/>
      </w:pPr>
      <w:r>
        <w:rPr>
          <w:b/>
          <w:bCs/>
        </w:rPr>
        <w:t xml:space="preserve">Organic enforcement.</w:t>
      </w:r>
      <w:r>
        <w:t xml:space="preserve">USDA's Strengthening Organic Enforcement rule (88 Fed. Reg. 3548, Jan. 19, 2023; compliance March 19, 2024) expands certification requirements, mandates import certificates, and strengthens fraud prevention. The Organic Livestock and Poultry Standards final rule (Nov. 2023) sets outdoor-access and animal-welfare requirements, phased in over several years.</w:t>
      </w:r>
    </w:p>
    <w:p>
      <w:pPr>
        <w:pStyle w:val="ListParagraph"/>
        <w:numPr>
          <w:ilvl w:val="0"/>
          <w:numId w:val="1"/>
        </w:numPr>
        <w:spacing w:after="80"/>
      </w:pPr>
      <w:r>
        <w:rPr>
          <w:b/>
          <w:bCs/>
        </w:rPr>
        <w:t xml:space="preserve">Animal-raising claims and "Product of USA."</w:t>
      </w:r>
      <w:r>
        <w:t xml:space="preserve">FSIS updated its guideline on documentation for animal-raising claims such as "grass-fed" and "raised without antibiotics" in 2024, and encourages third-party certification. Its final rule limiting voluntary "Product of USA" and "Made in the USA" claims on meat, poultry, and eggs to products from animals born, raised, slaughtered, and processed in the United States took effect January 1, 2026.</w:t>
      </w:r>
    </w:p>
    <w:p>
      <w:pPr>
        <w:pStyle w:val="ListParagraph"/>
        <w:numPr>
          <w:ilvl w:val="0"/>
          <w:numId w:val="1"/>
        </w:numPr>
        <w:spacing w:after="80"/>
      </w:pPr>
      <w:r>
        <w:rPr>
          <w:b/>
          <w:bCs/>
        </w:rPr>
        <w:t xml:space="preserve">Reasonable-consumer case law.</w:t>
      </w:r>
      <w:r>
        <w:t xml:space="preserve">Appellate courts differ on whether back-panel information can cure front-label ambiguity. Compare</w:t>
      </w:r>
      <w:r>
        <w:rPr>
          <w:i/>
          <w:iCs/>
        </w:rPr>
        <w:t xml:space="preserve">Mantikas v. Kellogg Co.</w:t>
      </w:r>
      <w:r>
        <w:t xml:space="preserve">, 910 F.3d 633 (2d Cir. 2018) ("made with whole grain"), and</w:t>
      </w:r>
      <w:r>
        <w:rPr>
          <w:i/>
          <w:iCs/>
        </w:rPr>
        <w:t xml:space="preserve">Bell v. Publix Super Markets, Inc.</w:t>
      </w:r>
      <w:r>
        <w:t xml:space="preserve">, 982 F.3d 468 (7th Cir. 2020) ("100% grated parmesan cheese"), with</w:t>
      </w:r>
      <w:r>
        <w:rPr>
          <w:i/>
          <w:iCs/>
        </w:rPr>
        <w:t xml:space="preserve">Moore v. Trader Joe's Co.</w:t>
      </w:r>
      <w:r>
        <w:t xml:space="preserve">, 4 F.4th 874 (9th Cir. 2021) (manuka honey), and</w:t>
      </w:r>
      <w:r>
        <w:rPr>
          <w:i/>
          <w:iCs/>
        </w:rPr>
        <w:t xml:space="preserve">McGinity v. Procter &amp; Gamble Co.</w:t>
      </w:r>
      <w:r>
        <w:t xml:space="preserve">, 69 F.4th 1093 (9th Cir. 2023) (ambiguous front labels may be read with the back label).</w:t>
      </w:r>
    </w:p>
    <w:p>
      <w:pPr>
        <w:pStyle w:val="ListParagraph"/>
        <w:numPr>
          <w:ilvl w:val="0"/>
          <w:numId w:val="1"/>
        </w:numPr>
        <w:spacing w:after="80"/>
      </w:pPr>
      <w:r>
        <w:rPr>
          <w:b/>
          <w:bCs/>
        </w:rPr>
        <w:t xml:space="preserve">Additives and state law.</w:t>
      </w:r>
      <w:r>
        <w:t xml:space="preserve">FDA revoked authorization of FD&amp;C Red No. 3 in food in January 2025 and of brominated vegetable oil in 2024. California's Food Safety Act (AB 418, 2023) bans several additives in food sold in the state beginning in 2027, and other states, including Texas, have enacted ingredient warning or disclosure laws, although a federal court preliminarily enjoined Texas's warning-label requirement on First Amendment grounds in February 2026. In February 2026 FDA also said it would not object to "no artificial colors" claims on products colored only with naturally derived colors, part of its push to phase out petroleum-based dyes. The 2025–2030 Dietary Guidelines, released in January 2026, matter here too, because the "healthy" criteria are keyed to Dietary Guidelines food groups. Federal agencies have also sought public input on a definition of "ultra-processed" foods.</w:t>
      </w:r>
    </w:p>
    <w:p>
      <w:pPr>
        <w:pStyle w:val="ListParagraph"/>
        <w:numPr>
          <w:ilvl w:val="0"/>
          <w:numId w:val="1"/>
        </w:numPr>
        <w:spacing w:after="80"/>
      </w:pPr>
      <w:r>
        <w:rPr>
          <w:b/>
          <w:bCs/>
        </w:rPr>
        <w:t xml:space="preserve">"Natural."</w:t>
      </w:r>
      <w:r>
        <w:t xml:space="preserve">FDA has still not defined the term by regulation, and consumer litigation over "natural" and "all natural" claims continues.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2026-09-28T18:12:27.632Z</dcterms:created>
  <dcterms:modified xsi:type="dcterms:W3CDTF">2026-09-28T18:12:27.632Z</dcterms:modified>
</cp:coreProperties>
</file>

<file path=docProps/custom.xml><?xml version="1.0" encoding="utf-8"?>
<Properties xmlns="http://schemas.openxmlformats.org/officeDocument/2006/custom-properties" xmlns:vt="http://schemas.openxmlformats.org/officeDocument/2006/docPropsVTypes"/>
</file>