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Price of Death - Compensating Victims</w:t>
      </w:r>
    </w:p>
    <w:p>
      <w:pPr>
        <w:spacing w:after="200"/>
      </w:pPr>
      <w:r>
        <w:rPr>
          <w:rFonts w:ascii="Montserrat" w:cs="Montserrat" w:eastAsia="Montserrat" w:hAnsi="Montserrat"/>
          <w:b/>
          <w:bCs/>
          <w:color w:val="E87722"/>
          <w:sz w:val="24"/>
          <w:szCs w:val="24"/>
        </w:rPr>
        <w:t xml:space="preserve">Kenneth Feinberg</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victim compensation funds as an alternative to litigation after mass disasters, through the experience of Kenneth Feinberg, Special Master of the September 11th Victim Compensation Fund. Topics include the statutory design of the 9/11 fund, eligibility and the distribution of awards among survivors, voluntary participation and the waiver of litigation rights, causation boundaries, the calculation of economic and non-economic loss, the difference between litigation-alternative funds and charitable gift funds, and the relationship between compensation funds and other aggregation devices such as class actions, multidistrict litigation, and bankruptcy.</w:t>
      </w:r>
    </w:p>
    <w:p>
      <w:pPr>
        <w:pStyle w:val="Heading2"/>
        <w:spacing w:after="120" w:before="240"/>
      </w:pPr>
      <w:r>
        <w:rPr>
          <w:b/>
          <w:bCs/>
        </w:rPr>
        <w:t xml:space="preserve">Learning Objectives</w:t>
      </w:r>
    </w:p>
    <w:p>
      <w:pPr>
        <w:pStyle w:val="ListParagraph"/>
        <w:numPr>
          <w:ilvl w:val="0"/>
          <w:numId w:val="1"/>
        </w:numPr>
        <w:spacing w:after="80"/>
      </w:pPr>
      <w:r>
        <w:t xml:space="preserve">Describe the statutory structure of the September 11th Victim Compensation Fund and its later reauthorizations.</w:t>
      </w:r>
    </w:p>
    <w:p>
      <w:pPr>
        <w:pStyle w:val="ListParagraph"/>
        <w:numPr>
          <w:ilvl w:val="0"/>
          <w:numId w:val="1"/>
        </w:numPr>
        <w:spacing w:after="80"/>
      </w:pPr>
      <w:r>
        <w:t xml:space="preserve">Distinguish litigation-alternative compensation programs, which require a release, from charitable gift funds, which do not.</w:t>
      </w:r>
    </w:p>
    <w:p>
      <w:pPr>
        <w:pStyle w:val="ListParagraph"/>
        <w:numPr>
          <w:ilvl w:val="0"/>
          <w:numId w:val="1"/>
        </w:numPr>
        <w:spacing w:after="80"/>
      </w:pPr>
      <w:r>
        <w:t xml:space="preserve">Explain how eligibility, causation, and distribution among survivors are determined.</w:t>
      </w:r>
    </w:p>
    <w:p>
      <w:pPr>
        <w:pStyle w:val="ListParagraph"/>
        <w:numPr>
          <w:ilvl w:val="0"/>
          <w:numId w:val="1"/>
        </w:numPr>
        <w:spacing w:after="80"/>
      </w:pPr>
      <w:r>
        <w:t xml:space="preserve">Apply the methods used to calculate economic and non-economic loss, and identify the fairness concerns they raise.</w:t>
      </w:r>
    </w:p>
    <w:p>
      <w:pPr>
        <w:pStyle w:val="ListParagraph"/>
        <w:numPr>
          <w:ilvl w:val="0"/>
          <w:numId w:val="1"/>
        </w:numPr>
        <w:spacing w:after="80"/>
      </w:pPr>
      <w:r>
        <w:t xml:space="preserve">Evaluate compensation funds alongside Rule 23 class actions, multidistrict litigation, and bankruptcy as ways of resolving mass claims.</w:t>
      </w:r>
    </w:p>
    <w:p>
      <w:pPr>
        <w:pStyle w:val="Heading2"/>
        <w:spacing w:after="120" w:before="240"/>
      </w:pPr>
      <w:r>
        <w:rPr>
          <w:b/>
          <w:bCs/>
        </w:rPr>
        <w:t xml:space="preserve">Origins: Agent Orange and Court-Appointed Administration</w:t>
      </w:r>
    </w:p>
    <w:p>
      <w:pPr>
        <w:spacing w:after="160"/>
      </w:pPr>
      <w:r>
        <w:t xml:space="preserve">Mr. Feinberg's work in this field began in the Agent Orange litigation, in which Judge Jack B. Weinstein of the Eastern District of New York appointed him special master to help settle and then distribute a $180 million settlement for Vietnam veterans exposed to the herbicide. See</w:t>
      </w:r>
      <w:r>
        <w:rPr>
          <w:i/>
          <w:iCs/>
        </w:rPr>
        <w:t xml:space="preserve">In re "Agent Orange" Product Liability Litigation</w:t>
      </w:r>
      <w:r>
        <w:t xml:space="preserve">, 597 F. Supp. 740 (E.D.N.Y. 1984), aff'd, 818 F.2d 145 (2d Cir. 1987). Court-supervised claims programs followed in asbestos, aviation, and pharmaceutical cases.</w:t>
      </w:r>
    </w:p>
    <w:p>
      <w:pPr>
        <w:pStyle w:val="Heading2"/>
        <w:spacing w:after="120" w:before="240"/>
      </w:pPr>
      <w:r>
        <w:rPr>
          <w:b/>
          <w:bCs/>
        </w:rPr>
        <w:t xml:space="preserve">The September 11th Victim Compensation Fund</w:t>
      </w:r>
    </w:p>
    <w:p>
      <w:pPr>
        <w:pStyle w:val="Heading3"/>
        <w:spacing w:after="120" w:before="240"/>
      </w:pPr>
      <w:r>
        <w:rPr>
          <w:b/>
          <w:bCs/>
        </w:rPr>
        <w:t xml:space="preserve">Statutory Framework</w:t>
      </w:r>
    </w:p>
    <w:p>
      <w:pPr>
        <w:spacing w:after="160"/>
      </w:pPr>
      <w:r>
        <w:t xml:space="preserve">Title IV of the Air Transportation Safety and System Stabilization Act, Pub. L. No. 107-42, 115 Stat. 230 (2001) (codified at 49 U.S.C. § 40101 note), created a taxpayer-funded, no-fault program. Individuals physically injured, and the personal representatives of those killed, in the September 11 attacks could file claims with a Special Master appointed by the Attorney General. Filing a claim waived the right to bring a civil action for damages arising from the attacks, except against those who knowingly participated in them. Claimants did not have to prove fault, only that the attacks caused the injury or death. Awards were to reflect "the harm to the claimant, the facts of the claim, and the individual circumstances of the claimant," less collateral source payments such as life insurance and pensions. Implementing regulations appear at 28 C.F.R. pt. 104.</w:t>
      </w:r>
    </w:p>
    <w:p>
      <w:pPr>
        <w:pStyle w:val="Heading3"/>
        <w:spacing w:after="120" w:before="240"/>
      </w:pPr>
      <w:r>
        <w:rPr>
          <w:b/>
          <w:bCs/>
        </w:rPr>
        <w:t xml:space="preserve">Participation</w:t>
      </w:r>
    </w:p>
    <w:p>
      <w:pPr>
        <w:spacing w:after="160"/>
      </w:pPr>
      <w:r>
        <w:t xml:space="preserve">About 97 percent of eligible families of those killed chose the fund. Ninety-four families opted out and pursued litigation, largely against aviation and security defendants, and most of those cases later settled confidentially. Mr. Feinberg attributes the high participation rate to speed, certainty, and avoiding contingent fees and litigation costs.</w:t>
      </w:r>
    </w:p>
    <w:p>
      <w:pPr>
        <w:pStyle w:val="Heading3"/>
        <w:spacing w:after="120" w:before="240"/>
      </w:pPr>
      <w:r>
        <w:rPr>
          <w:b/>
          <w:bCs/>
        </w:rPr>
        <w:t xml:space="preserve">Distribution Among Survivors</w:t>
      </w:r>
    </w:p>
    <w:p>
      <w:pPr>
        <w:spacing w:after="160"/>
      </w:pPr>
      <w:r>
        <w:t xml:space="preserve">Where a decedent left a will, the fund followed it. Otherwise, distribution followed the intestacy law of the decedent's domicile. In New York, that means N.Y. Est. Powers &amp; Trusts Law § 4-1.1. Under those rules, fiancés and, at the time, same-sex partners generally took nothing. The Special Master tried to mediate family disputes and referred 18 that could not be resolved to probate courts.</w:t>
      </w:r>
    </w:p>
    <w:p>
      <w:pPr>
        <w:pStyle w:val="Heading3"/>
        <w:spacing w:after="120" w:before="240"/>
      </w:pPr>
      <w:r>
        <w:rPr>
          <w:b/>
          <w:bCs/>
        </w:rPr>
        <w:t xml:space="preserve">Causation and Eligibility</w:t>
      </w:r>
    </w:p>
    <w:p>
      <w:pPr>
        <w:spacing w:after="160"/>
      </w:pPr>
      <w:r>
        <w:t xml:space="preserve">The statute covered physical harm at the crash sites in the immediate aftermath of the attacks. The regulations defined the covered area around the World Trade Center by specific boundaries (roughly West Street, lower Broadway, Canal Street, and South Ferry), so a claimant injured elsewhere in Manhattan while watching the attack was ineligible. The original fund compensated only injuries that existed when the claim was decided, not future latent illness.</w:t>
      </w:r>
    </w:p>
    <w:p>
      <w:pPr>
        <w:pStyle w:val="Heading3"/>
        <w:spacing w:after="120" w:before="240"/>
      </w:pPr>
      <w:r>
        <w:rPr>
          <w:b/>
          <w:bCs/>
        </w:rPr>
        <w:t xml:space="preserve">Calculating Awards</w:t>
      </w:r>
    </w:p>
    <w:p>
      <w:pPr>
        <w:spacing w:after="160"/>
      </w:pPr>
      <w:r>
        <w:t xml:space="preserve">Economic loss was based on projected lifetime earnings, benefits, and household services, using Bureau of Labor Statistics work-life data. Non-economic loss followed a presumed schedule: $250,000 for each decedent, plus $100,000 for the surviving spouse and each dependent. The resulting awards varied widely with income, which caused real distress among families. It also reflects the tort system the fund replaced, in which juries are instructed to compensate lost earnings. The program included a limited "extraordinary circumstances" exception.</w:t>
      </w:r>
    </w:p>
    <w:p>
      <w:pPr>
        <w:pStyle w:val="Heading2"/>
        <w:spacing w:after="120" w:before="240"/>
      </w:pPr>
      <w:r>
        <w:rPr>
          <w:b/>
          <w:bCs/>
        </w:rPr>
        <w:t xml:space="preserve">Reauthorization: The Zadroga Act and Beyond</w:t>
      </w:r>
    </w:p>
    <w:p>
      <w:pPr>
        <w:spacing w:after="160"/>
      </w:pPr>
      <w:r>
        <w:t xml:space="preserve">The James Zadroga 9/11 Health and Compensation Act of 2010, Pub. L. No. 111-347, 124 Stat. 3623 (2011), reopened the fund to compensate illness from exposure to toxins at the crash sites and debris-removal routes, and created the World Trade Center Health Program. The fund was reauthorized in 2015 (Pub. L. No. 114-113, div. O, tit. IV), with caps on non-economic loss and limits on the income used to compute economic loss. It was made effectively permanent by the Never Forget the Heroes: James Zadroga, Ray Pfeifer, and Luis Alvarez Permanent Authorization of the September 11th Victim Compensation Fund Act, Pub. L. No. 116-34, 133 Stat. 1040 (2019), which extended the claims deadline to October 1, 2090.</w:t>
      </w:r>
    </w:p>
    <w:p>
      <w:pPr>
        <w:pStyle w:val="Heading2"/>
        <w:spacing w:after="120" w:before="240"/>
      </w:pPr>
      <w:r>
        <w:rPr>
          <w:b/>
          <w:bCs/>
        </w:rPr>
        <w:t xml:space="preserve">Company-Funded Programs</w:t>
      </w:r>
    </w:p>
    <w:p>
      <w:pPr>
        <w:pStyle w:val="ListParagraph"/>
        <w:numPr>
          <w:ilvl w:val="0"/>
          <w:numId w:val="1"/>
        </w:numPr>
        <w:spacing w:after="80"/>
      </w:pPr>
      <w:r>
        <w:rPr>
          <w:b/>
          <w:bCs/>
        </w:rPr>
        <w:t xml:space="preserve">Deepwater Horizon (2010–2012).</w:t>
      </w:r>
      <w:r>
        <w:t xml:space="preserve">Under the Oil Pollution Act of 1990, 33 U.S.C. § 2701 et seq., a responsible party must establish a claims process (33 U.S.C. § 2713). BP committed $20 billion to a trust, and Mr. Feinberg administered the Gulf Coast Claims Facility, chiefly for economic loss to fishermen, businesses, and property owners. After a class settlement in</w:t>
      </w:r>
      <w:r>
        <w:rPr>
          <w:i/>
          <w:iCs/>
        </w:rPr>
        <w:t xml:space="preserve">In re Oil Spill by the Oil Rig "Deepwater Horizon"</w:t>
      </w:r>
      <w:r>
        <w:t xml:space="preserve">, MDL No. 2179 (E.D. La.), a court-supervised settlement program took over in 2012.</w:t>
      </w:r>
    </w:p>
    <w:p>
      <w:pPr>
        <w:pStyle w:val="ListParagraph"/>
        <w:numPr>
          <w:ilvl w:val="0"/>
          <w:numId w:val="1"/>
        </w:numPr>
        <w:spacing w:after="80"/>
      </w:pPr>
      <w:r>
        <w:rPr>
          <w:b/>
          <w:bCs/>
        </w:rPr>
        <w:t xml:space="preserve">GM ignition switch (2014–2015).</w:t>
      </w:r>
      <w:r>
        <w:t xml:space="preserve">General Motors funded a program for deaths and serious injuries linked to defective ignition switches. Mr. Feinberg set eligibility and damages protocols and used the extraordinary-circumstances exception in rare cases.</w:t>
      </w:r>
    </w:p>
    <w:p>
      <w:pPr>
        <w:pStyle w:val="ListParagraph"/>
        <w:numPr>
          <w:ilvl w:val="0"/>
          <w:numId w:val="1"/>
        </w:numPr>
        <w:spacing w:after="80"/>
      </w:pPr>
      <w:r>
        <w:rPr>
          <w:b/>
          <w:bCs/>
        </w:rPr>
        <w:t xml:space="preserve">Volkswagen diesel emissions.</w:t>
      </w:r>
      <w:r>
        <w:t xml:space="preserve">Owners of affected 2.0-liter diesel vehicles could choose a buyback or an approved emissions modification, plus restitution payments. The program was later incorporated into the class settlement in</w:t>
      </w:r>
      <w:r>
        <w:rPr>
          <w:i/>
          <w:iCs/>
        </w:rPr>
        <w:t xml:space="preserve">In re Volkswagen "Clean Diesel" Marketing, Sales Practices, and Products Liability Litigation</w:t>
      </w:r>
      <w:r>
        <w:t xml:space="preserve">, MDL No. 2672 (N.D. Cal.).</w:t>
      </w:r>
    </w:p>
    <w:p>
      <w:pPr>
        <w:spacing w:after="160"/>
      </w:pPr>
      <w:r>
        <w:t xml:space="preserve">In each case, the program was voluntary, required a release, and drew very high participation: about 92 percent of eligible oil spill claimants and about 95 percent of eligible GM claimants.</w:t>
      </w:r>
    </w:p>
    <w:p>
      <w:pPr>
        <w:pStyle w:val="Heading2"/>
        <w:spacing w:after="120" w:before="240"/>
      </w:pPr>
      <w:r>
        <w:rPr>
          <w:b/>
          <w:bCs/>
        </w:rPr>
        <w:t xml:space="preserve">Charitable Gift Funds</w:t>
      </w:r>
    </w:p>
    <w:p>
      <w:pPr>
        <w:spacing w:after="160"/>
      </w:pPr>
      <w:r>
        <w:t xml:space="preserve">Funds created from public donations, such as One Fund Boston after the 2013 Marathon bombing, the Hokie Spirit Memorial Fund after the Virginia Tech shooting, and the OneOrlando Fund after the Pulse nightclub shooting, require no release, because recipients give up no legal rights. That lets administrators use simple, uniform schedules. One Fund Boston paid $2,195,000 for each death and each double amputation. Other physical injury awards depended only on the length of hospitalization, confirmed by a letter from the hospital, ranging from $948,300 for 32 or more nights to $125,000 for one or two nights, with $8,000 for outpatient treatment. A 2014 final distribution added further payments. Economic circumstances played no role.</w:t>
      </w:r>
    </w:p>
    <w:p>
      <w:pPr>
        <w:pStyle w:val="Heading2"/>
        <w:spacing w:after="120" w:before="240"/>
      </w:pPr>
      <w:r>
        <w:rPr>
          <w:b/>
          <w:bCs/>
        </w:rPr>
        <w:t xml:space="preserve">Clergy Abuse: The Archdiocese of New York Program</w:t>
      </w:r>
    </w:p>
    <w:p>
      <w:pPr>
        <w:spacing w:after="160"/>
      </w:pPr>
      <w:r>
        <w:t xml:space="preserve">The Archdiocese's Independent Reconciliation and Compensation Program, administered by Mr. Feinberg and Camille Biros, offered compensation to survivors of clergy sexual abuse whose claims were time-barred. Participation was voluntary, but accepting an award required a release, protecting the Archdiocese against a later extension of the statute of limitations.</w:t>
      </w:r>
    </w:p>
    <w:p>
      <w:pPr>
        <w:pStyle w:val="Heading2"/>
        <w:spacing w:after="120" w:before="240"/>
      </w:pPr>
      <w:r>
        <w:rPr>
          <w:b/>
          <w:bCs/>
        </w:rPr>
        <w:t xml:space="preserve">Compensation Funds and Other Aggregation Devices</w:t>
      </w:r>
    </w:p>
    <w:p>
      <w:pPr>
        <w:spacing w:after="160"/>
      </w:pPr>
      <w:r>
        <w:t xml:space="preserve">Mr. Feinberg sees funds partly as a response to the limits of the class action in tort cases. See</w:t>
      </w:r>
      <w:r>
        <w:rPr>
          <w:i/>
          <w:iCs/>
        </w:rPr>
        <w:t xml:space="preserve">Amchem Products, Inc. v. Windsor</w:t>
      </w:r>
      <w:r>
        <w:t xml:space="preserve">, 521 U.S. 591 (1997) (decertifying an asbestos settlement class for lack of predominance and adequate representation);</w:t>
      </w:r>
      <w:r>
        <w:rPr>
          <w:i/>
          <w:iCs/>
        </w:rPr>
        <w:t xml:space="preserve">Ortiz v. Fibreboard Corp.</w:t>
      </w:r>
      <w:r>
        <w:t xml:space="preserve">, 527 U.S. 815 (1999) (rejecting a limited-fund mandatory class);</w:t>
      </w:r>
      <w:r>
        <w:rPr>
          <w:i/>
          <w:iCs/>
        </w:rPr>
        <w:t xml:space="preserve">Wal-Mart Stores, Inc. v. Dukes</w:t>
      </w:r>
      <w:r>
        <w:t xml:space="preserve">, 564 U.S. 338 (2011) (tightening commonality under Rule 23(a)(2));</w:t>
      </w:r>
      <w:r>
        <w:rPr>
          <w:i/>
          <w:iCs/>
        </w:rPr>
        <w:t xml:space="preserve">Comcast Corp. v. Behrend</w:t>
      </w:r>
      <w:r>
        <w:t xml:space="preserve">, 569 U.S. 27 (2013) (requiring a classwide damages model consistent with the theory of liability). Other aggregation tools include multidistrict litigation under 28 U.S.C. § 1407, state coordinated proceedings, and bankruptcy, including asbestos trusts under 11 U.S.C. § 524(g).</w:t>
      </w:r>
    </w:p>
    <w:p>
      <w:pPr>
        <w:pStyle w:val="Heading2"/>
        <w:spacing w:after="120" w:before="240"/>
      </w:pPr>
      <w:r>
        <w:rPr>
          <w:b/>
          <w:bCs/>
        </w:rPr>
        <w:t xml:space="preserve">Developments to Know</w:t>
      </w:r>
    </w:p>
    <w:p>
      <w:pPr>
        <w:pStyle w:val="ListParagraph"/>
        <w:numPr>
          <w:ilvl w:val="0"/>
          <w:numId w:val="1"/>
        </w:numPr>
        <w:spacing w:after="80"/>
      </w:pPr>
      <w:r>
        <w:rPr>
          <w:b/>
          <w:bCs/>
        </w:rPr>
        <w:t xml:space="preserve">Purdue after &lt;em&gt;Harrington&lt;/em&gt;.</w:t>
      </w:r>
      <w:r>
        <w:t xml:space="preserve">In November 2025 the bankruptcy court confirmed Purdue's revised plan, in which the Sackler family agreed to pay roughly $7 billion over time and claimants opt in to third-party releases, the consent-based route</w:t>
      </w:r>
      <w:r>
        <w:rPr>
          <w:i/>
          <w:iCs/>
        </w:rPr>
        <w:t xml:space="preserve">Harrington</w:t>
      </w:r>
      <w:r>
        <w:t xml:space="preserve">left open.</w:t>
      </w:r>
    </w:p>
    <w:p>
      <w:pPr>
        <w:pStyle w:val="ListParagraph"/>
        <w:numPr>
          <w:ilvl w:val="0"/>
          <w:numId w:val="1"/>
        </w:numPr>
        <w:spacing w:after="80"/>
      </w:pPr>
      <w:r>
        <w:rPr>
          <w:b/>
          <w:bCs/>
        </w:rPr>
        <w:t xml:space="preserve">Archdiocese of New York (2026).</w:t>
      </w:r>
      <w:r>
        <w:t xml:space="preserve">In May 2026 the Archdiocese proposed an $800 million global settlement of roughly 1,300 abuse claims filed under New York's revival statutes, conditioned on near-universal participation, with Chapter 11 the stated alternative. Negotiations were continuing in September 2026.</w:t>
      </w:r>
    </w:p>
    <w:p>
      <w:pPr>
        <w:pStyle w:val="ListParagraph"/>
        <w:numPr>
          <w:ilvl w:val="0"/>
          <w:numId w:val="1"/>
        </w:numPr>
        <w:spacing w:after="80"/>
      </w:pPr>
      <w:r>
        <w:rPr>
          <w:b/>
          <w:bCs/>
        </w:rPr>
        <w:t xml:space="preserve">Permanent VCF (2019).</w:t>
      </w:r>
      <w:r>
        <w:t xml:space="preserve">Pub. L. No. 116-34 extended the September 11th Victim Compensation Fund through October 1, 2090, and provided funding to pay eligible claims. The fund now compensates illnesses linked to exposure at the sites.</w:t>
      </w:r>
    </w:p>
    <w:p>
      <w:pPr>
        <w:pStyle w:val="ListParagraph"/>
        <w:numPr>
          <w:ilvl w:val="0"/>
          <w:numId w:val="1"/>
        </w:numPr>
        <w:spacing w:after="80"/>
      </w:pPr>
      <w:r>
        <w:rPr>
          <w:b/>
          <w:bCs/>
        </w:rPr>
        <w:t xml:space="preserve">New York Child Victims Act.</w:t>
      </w:r>
      <w:r>
        <w:t xml:space="preserve">L. 2019, ch. 11, signed February 14, 2019, extended the limitations periods for child sexual abuse claims (CPLR 208(b)) and opened a revival window for time-barred claims (CPLR 214-g), later extended to August 14, 2021. The Adult Survivors Act (2022) opened a one-year window for adult survivors (CPLR 214-j). Thousands of revived claims were filed, and several New York dioceses entered Chapter 11. Survivors who had accepted awards from reconciliation programs had released their claims.</w:t>
      </w:r>
    </w:p>
    <w:p>
      <w:pPr>
        <w:pStyle w:val="ListParagraph"/>
        <w:numPr>
          <w:ilvl w:val="0"/>
          <w:numId w:val="1"/>
        </w:numPr>
        <w:spacing w:after="80"/>
      </w:pPr>
      <w:r>
        <w:rPr>
          <w:b/>
          <w:bCs/>
        </w:rPr>
        <w:t xml:space="preserve">Nonconsensual third-party releases.</w:t>
      </w:r>
      <w:r>
        <w:rPr>
          <w:i/>
          <w:iCs/>
        </w:rPr>
        <w:t xml:space="preserve">Harrington v. Purdue Pharma L.P.</w:t>
      </w:r>
      <w:r>
        <w:t xml:space="preserve">, 603 U.S. 204 (2024) (5–4), held that the Bankruptcy Code does not authorize a Chapter 11 plan to release and enjoin claims against non-debtors without the consent of affected claimants. This limits the use of bankruptcy to achieve global resolution of mass-tort liability for related parties such as insurers, affiliates, and individual owners.</w:t>
      </w:r>
    </w:p>
    <w:p>
      <w:pPr>
        <w:pStyle w:val="ListParagraph"/>
        <w:numPr>
          <w:ilvl w:val="0"/>
          <w:numId w:val="1"/>
        </w:numPr>
        <w:spacing w:after="80"/>
      </w:pPr>
      <w:r>
        <w:rPr>
          <w:b/>
          <w:bCs/>
        </w:rPr>
        <w:t xml:space="preserve">Federal Rule of Civil Procedure 16.1 (effective December 1, 2025).</w:t>
      </w:r>
      <w:r>
        <w:t xml:space="preserve">The first Federal Rule addressed specifically to multidistrict litigation. It encourages an early management conference and report covering leadership counsel, early exchange of information about claims, discovery, and settlement.</w:t>
      </w:r>
    </w:p>
    <w:p>
      <w:pPr>
        <w:pStyle w:val="ListParagraph"/>
        <w:numPr>
          <w:ilvl w:val="0"/>
          <w:numId w:val="1"/>
        </w:numPr>
        <w:spacing w:after="80"/>
      </w:pPr>
      <w:r>
        <w:rPr>
          <w:b/>
          <w:bCs/>
        </w:rPr>
        <w:t xml:space="preserve">Class certification.</w:t>
      </w:r>
      <w:r>
        <w:rPr>
          <w:i/>
          <w:iCs/>
        </w:rPr>
        <w:t xml:space="preserve">TransUnion LLC v. Ramirez</w:t>
      </w:r>
      <w:r>
        <w:t xml:space="preserve">, 594 U.S. 413 (2021), held that every class member must have Article III standing to recover individual damages. In</w:t>
      </w:r>
      <w:r>
        <w:rPr>
          <w:i/>
          <w:iCs/>
        </w:rPr>
        <w:t xml:space="preserve">Laboratory Corp. of America Holdings v. Davis</w:t>
      </w:r>
      <w:r>
        <w:t xml:space="preserve">(2025), the Court dismissed as improvidently granted a case asking whether a damages class may be certified when it includes uninjured members, leaving that question open.</w:t>
      </w:r>
    </w:p>
    <w:p>
      <w:pPr>
        <w:pStyle w:val="ListParagraph"/>
        <w:numPr>
          <w:ilvl w:val="0"/>
          <w:numId w:val="1"/>
        </w:numPr>
        <w:spacing w:after="80"/>
      </w:pPr>
      <w:r>
        <w:rPr>
          <w:b/>
          <w:bCs/>
        </w:rPr>
        <w:t xml:space="preserve">Continued use of voluntary funds.</w:t>
      </w:r>
      <w:r>
        <w:t xml:space="preserve">Companies and governments continue to use administered funds after disasters, for example the Boeing 737 MAX Financial Assistance Fund (2019) for families of the Lion Air Flight 610 and Ethiopian Airlines Flight 302 victims.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2026-09-28T18:12:26.942Z</dcterms:created>
  <dcterms:modified xsi:type="dcterms:W3CDTF">2026-09-28T18:12:26.942Z</dcterms:modified>
</cp:coreProperties>
</file>

<file path=docProps/custom.xml><?xml version="1.0" encoding="utf-8"?>
<Properties xmlns="http://schemas.openxmlformats.org/officeDocument/2006/custom-properties" xmlns:vt="http://schemas.openxmlformats.org/officeDocument/2006/docPropsVTypes"/>
</file>