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Using Lawyers to Launder Money</w:t>
      </w:r>
    </w:p>
    <w:p>
      <w:pPr>
        <w:spacing w:after="200"/>
      </w:pPr>
      <w:r>
        <w:rPr>
          <w:rFonts w:ascii="Montserrat" w:cs="Montserrat" w:eastAsia="Montserrat" w:hAnsi="Montserrat"/>
          <w:b/>
          <w:bCs/>
          <w:color w:val="E87722"/>
          <w:sz w:val="24"/>
          <w:szCs w:val="24"/>
        </w:rPr>
        <w:t xml:space="preserve">Prof. William H. Simon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how lawyers can be used, knowingly or not, to facilitate money laundering, and what the rules of professional conduct require of them. It uses the Global Witness undercover investigation of New York lawyers (conducted in 2014 and made public in 2016) and the Panama Papers disclosures as case studies. Topics include the elements of federal money laundering offenses, the prohibition on assisting client crime or fraud under Model Rule 1.2(d), the doctrine of willful blindness, the tension between lawyer confidentiality and international anti-money-laundering (AML) standards, red flags calling for heightened due diligence, and proposals for reform.</w:t>
      </w:r>
    </w:p>
    <w:p>
      <w:pPr>
        <w:pStyle w:val="Heading2"/>
        <w:spacing w:after="120" w:before="240"/>
      </w:pPr>
      <w:r>
        <w:rPr>
          <w:b/>
          <w:bCs/>
        </w:rPr>
        <w:t xml:space="preserve">Learning Objectives</w:t>
      </w:r>
    </w:p>
    <w:p>
      <w:pPr>
        <w:pStyle w:val="ListParagraph"/>
        <w:numPr>
          <w:ilvl w:val="0"/>
          <w:numId w:val="1"/>
        </w:numPr>
        <w:spacing w:after="80"/>
      </w:pPr>
      <w:r>
        <w:t xml:space="preserve">Identify the elements of the core federal money laundering offenses under 18 U.S.C. §§ 1956 and 1957.</w:t>
      </w:r>
    </w:p>
    <w:p>
      <w:pPr>
        <w:pStyle w:val="ListParagraph"/>
        <w:numPr>
          <w:ilvl w:val="0"/>
          <w:numId w:val="1"/>
        </w:numPr>
        <w:spacing w:after="80"/>
      </w:pPr>
      <w:r>
        <w:t xml:space="preserve">Apply Model Rule 1.2(d) to prospective as well as current clients.</w:t>
      </w:r>
    </w:p>
    <w:p>
      <w:pPr>
        <w:pStyle w:val="ListParagraph"/>
        <w:numPr>
          <w:ilvl w:val="0"/>
          <w:numId w:val="1"/>
        </w:numPr>
        <w:spacing w:after="80"/>
      </w:pPr>
      <w:r>
        <w:t xml:space="preserve">Explain why deliberate ignorance offers no protection under federal criminal law or the ethics rules.</w:t>
      </w:r>
    </w:p>
    <w:p>
      <w:pPr>
        <w:pStyle w:val="ListParagraph"/>
        <w:numPr>
          <w:ilvl w:val="0"/>
          <w:numId w:val="1"/>
        </w:numPr>
        <w:spacing w:after="80"/>
      </w:pPr>
      <w:r>
        <w:t xml:space="preserve">Describe how state confidentiality rules differ on disclosure to prevent client crime, and how they compare with FATF standards.</w:t>
      </w:r>
    </w:p>
    <w:p>
      <w:pPr>
        <w:pStyle w:val="ListParagraph"/>
        <w:numPr>
          <w:ilvl w:val="0"/>
          <w:numId w:val="1"/>
        </w:numPr>
        <w:spacing w:after="80"/>
      </w:pPr>
      <w:r>
        <w:t xml:space="preserve">Recognize red flags and apply a risk-based due diligence process before accepting or continuing an engagement.</w:t>
      </w:r>
    </w:p>
    <w:p>
      <w:pPr>
        <w:pStyle w:val="Heading2"/>
        <w:spacing w:after="120" w:before="240"/>
      </w:pPr>
      <w:r>
        <w:rPr>
          <w:b/>
          <w:bCs/>
        </w:rPr>
        <w:t xml:space="preserve">The Global Witness Investigation</w:t>
      </w:r>
    </w:p>
    <w:p>
      <w:pPr>
        <w:spacing w:after="160"/>
      </w:pPr>
      <w:r>
        <w:t xml:space="preserve">In 2014, Global Witness sent an undercover investigator to 13 New York law firms; it published the results, along with a</w:t>
      </w:r>
      <w:r>
        <w:rPr>
          <w:i/>
          <w:iCs/>
        </w:rPr>
        <w:t xml:space="preserve">60 Minutes</w:t>
      </w:r>
      <w:r>
        <w:t xml:space="preserve">broadcast, in early 2016. He posed as an adviser to an unnamed West African minister of mines who had accumulated large payments from mining companies seeking concessions and wanted to move the funds into the United States anonymously to buy a brownstone, a jet, and a yacht. He declined to name the minister or the country. Only one lawyer refused outright to continue the conversation. Professor Simon and Professor John Leubsdorf of Rutgers Law School reviewed five of the recordings for Global Witness. In four, the lawyers outlined layered shell-company structures, routing through secrecy jurisdictions, and in some cases use of client trust accounts. The report concluded that lawyers in three interviews had fairly clearly violated Rule 1.2(d).</w:t>
      </w:r>
    </w:p>
    <w:p>
      <w:pPr>
        <w:pStyle w:val="Heading2"/>
        <w:spacing w:after="120" w:before="240"/>
      </w:pPr>
      <w:r>
        <w:rPr>
          <w:b/>
          <w:bCs/>
        </w:rPr>
        <w:t xml:space="preserve">The Federal Money Laundering Framework</w:t>
      </w:r>
    </w:p>
    <w:p>
      <w:pPr>
        <w:spacing w:after="160"/>
      </w:pPr>
      <w:r>
        <w:t xml:space="preserve">The Money Laundering Control Act of 1986 makes it a crime to conduct a financial transaction involving the proceeds of "specified unlawful activity," knowing that the property represents proceeds of some form of unlawful activity, when the transaction is designed in whole or in part to conceal the nature, location, source, ownership, or control of the proceeds. 18 U.S.C. § 1956(a)(1)(B)(i). Section 1957 separately prohibits knowingly engaging in a monetary transaction over $10,000 in criminally derived property. Specified unlawful activity includes drug and human trafficking and certain offenses against a foreign nation, including bribery of a public official and misappropriation of public funds. 18 U.S.C. § 1956(c)(7)(B)(iv). The statute applies extraterritorially when the conduct occurs in part in the United States. 18 U.S.C. § 1956(f).</w:t>
      </w:r>
    </w:p>
    <w:p>
      <w:pPr>
        <w:pStyle w:val="Heading2"/>
        <w:spacing w:after="120" w:before="240"/>
      </w:pPr>
      <w:r>
        <w:rPr>
          <w:b/>
          <w:bCs/>
        </w:rPr>
        <w:t xml:space="preserve">Model Rule 1.2(d): Counseling or Assisting Client Crime</w:t>
      </w:r>
    </w:p>
    <w:p>
      <w:pPr>
        <w:spacing w:after="160"/>
      </w:pPr>
      <w:r>
        <w:t xml:space="preserve">Model Rule 1.2(d) provides that a lawyer "shall not counsel a client to engage, or assist a client, in conduct that the lawyer knows is criminal or fraudulent," although a lawyer may discuss the legal consequences of any proposed course of conduct. Two questions arise in a sting like this one.</w:t>
      </w:r>
    </w:p>
    <w:p>
      <w:pPr>
        <w:pStyle w:val="Heading3"/>
        <w:spacing w:after="120" w:before="240"/>
      </w:pPr>
      <w:r>
        <w:rPr>
          <w:b/>
          <w:bCs/>
        </w:rPr>
        <w:t xml:space="preserve">Prospective Clients</w:t>
      </w:r>
    </w:p>
    <w:p>
      <w:pPr>
        <w:spacing w:after="160"/>
      </w:pPr>
      <w:r>
        <w:t xml:space="preserve">The "minister" never became a client. Model Rule 1.18 defines a prospective client as a person who consults a lawyer about possibly forming a client-lawyer relationship. Professor Simon's position is that Rule 1.2(d) applies to prospective clients, because advice that equips a prospective client to commit a crime is just as harmful as advice to an actual client.</w:t>
      </w:r>
    </w:p>
    <w:p>
      <w:pPr>
        <w:pStyle w:val="Heading3"/>
        <w:spacing w:after="120" w:before="240"/>
      </w:pPr>
      <w:r>
        <w:rPr>
          <w:b/>
          <w:bCs/>
        </w:rPr>
        <w:t xml:space="preserve">Knowledge and Willful Blindness</w:t>
      </w:r>
    </w:p>
    <w:p>
      <w:pPr>
        <w:spacing w:after="160"/>
      </w:pPr>
      <w:r>
        <w:t xml:space="preserve">Rule 1.0(f) defines "knows" as actual knowledge, which "may be inferred from circumstances." Under federal criminal law, a defendant who believes there is a high probability that a fact exists and takes deliberate steps to avoid learning it is treated as having knowledge.</w:t>
      </w:r>
      <w:r>
        <w:rPr>
          <w:i/>
          <w:iCs/>
        </w:rPr>
        <w:t xml:space="preserve">Global-Tech Appliances, Inc. v. SEB S.A.</w:t>
      </w:r>
      <w:r>
        <w:t xml:space="preserve">, 563 U.S. 754, 769 (2011). ABA Formal Opinion 491 (2020) applies the same concept to Rule 1.2(d): a lawyer who faces a high probability that a client seeks the lawyer's services to further a crime or fraud must inquire further, and a lawyer who deliberately avoids knowing may be found to "know." Two other duties point the same way. Rule 1.4(a)(5) requires a lawyer to consult with the client about limits on the lawyer's conduct when the client expects assistance the rules do not permit. Rule 1.1 requires the thoroughness and preparation that competent advice demands, which includes learning the relevant facts.</w:t>
      </w:r>
    </w:p>
    <w:p>
      <w:pPr>
        <w:pStyle w:val="Heading2"/>
        <w:spacing w:after="120" w:before="240"/>
      </w:pPr>
      <w:r>
        <w:rPr>
          <w:b/>
          <w:bCs/>
        </w:rPr>
        <w:t xml:space="preserve">Confidentiality, Disclosure, and International Standards</w:t>
      </w:r>
    </w:p>
    <w:p>
      <w:pPr>
        <w:spacing w:after="160"/>
      </w:pPr>
      <w:r>
        <w:t xml:space="preserve">Model Rule 1.6(b)(2) and (3)</w:t>
      </w:r>
      <w:r>
        <w:rPr>
          <w:i/>
          <w:iCs/>
        </w:rPr>
        <w:t xml:space="preserve">permit</w:t>
      </w:r>
      <w:r>
        <w:t xml:space="preserve">, but do not require, disclosure to the extent reasonably necessary to prevent, mitigate, or rectify a client crime or fraud that causes substantial financial injury and in which the client used the lawyer's services. States vary considerably. New York Rule 1.6(b)(2) permits disclosure to prevent a client from committing a crime. California Business and Professions Code § 6068(e) permits disclosure only to prevent a criminal act likely to cause death or substantial bodily harm. A handful of states make some disclosures mandatory.</w:t>
      </w:r>
    </w:p>
    <w:p>
      <w:pPr>
        <w:spacing w:after="160"/>
      </w:pPr>
      <w:r>
        <w:t xml:space="preserve">The FATF Recommendations call for lawyers who carry out specified transactions for clients to perform customer due diligence (Recommendation 22) and to file suspicious transaction reports, subject to the tipping-off prohibition (Recommendation 23). Recommendation 23 recognizes an exception for information covered by legal professional privilege. U.S. banks are subject to these requirements under the Bank Secrecy Act, 31 U.S.C. § 5311 et seq. U.S. lawyers are not, and in the 2016 FATF Mutual Evaluation the United States was rated non-compliant on Recommendations 22, 23, and 28 as applied to lawyers and other designated non-financial businesses and professions.</w:t>
      </w:r>
    </w:p>
    <w:p>
      <w:pPr>
        <w:pStyle w:val="Heading2"/>
        <w:spacing w:after="120" w:before="240"/>
      </w:pPr>
      <w:r>
        <w:rPr>
          <w:b/>
          <w:bCs/>
        </w:rPr>
        <w:t xml:space="preserve">The Panama Papers and the Rationale for Privilege</w:t>
      </w:r>
    </w:p>
    <w:p>
      <w:pPr>
        <w:spacing w:after="160"/>
      </w:pPr>
      <w:r>
        <w:t xml:space="preserve">The 2016 leak of records from the Panamanian law firm Mossack Fonseca exposed offshore structures used by public officials and wealthy individuals. Professor Simon draws two lessons. Secrecy is fragile in practice because any organization may contain a whistleblower. More fundamentally, the justification for privilege and confidentiality is that legal advice promotes compliance with law. When lawyers help clients evade the law, that justification weakens. Lawyers who disclose confidential information without authorization, even for altruistic reasons, remain subject to discipline under Rule 1.6.</w:t>
      </w:r>
    </w:p>
    <w:p>
      <w:pPr>
        <w:pStyle w:val="Heading2"/>
        <w:spacing w:after="120" w:before="240"/>
      </w:pPr>
      <w:r>
        <w:rPr>
          <w:b/>
          <w:bCs/>
        </w:rPr>
        <w:t xml:space="preserve">Red Flags and Risk-Based Due Diligence</w:t>
      </w:r>
    </w:p>
    <w:p>
      <w:pPr>
        <w:spacing w:after="160"/>
      </w:pPr>
      <w:r>
        <w:t xml:space="preserve">The ABA's Voluntary Good Practices Guidance for Lawyers to Detect and Combat Money Laundering and Terrorist Financing (2010) and FATF guidance for legal professionals both take a risk-based approach. Indicators include:</w:t>
      </w:r>
    </w:p>
    <w:p>
      <w:pPr>
        <w:pStyle w:val="ListParagraph"/>
        <w:numPr>
          <w:ilvl w:val="0"/>
          <w:numId w:val="1"/>
        </w:numPr>
        <w:spacing w:after="80"/>
      </w:pPr>
      <w:r>
        <w:t xml:space="preserve">Funds or assets out of proportion to the client's known income or business.</w:t>
      </w:r>
    </w:p>
    <w:p>
      <w:pPr>
        <w:pStyle w:val="ListParagraph"/>
        <w:numPr>
          <w:ilvl w:val="0"/>
          <w:numId w:val="1"/>
        </w:numPr>
        <w:spacing w:after="80"/>
      </w:pPr>
      <w:r>
        <w:t xml:space="preserve">Requests for secrecy or anonymity without a legitimate explanation.</w:t>
      </w:r>
    </w:p>
    <w:p>
      <w:pPr>
        <w:pStyle w:val="ListParagraph"/>
        <w:numPr>
          <w:ilvl w:val="0"/>
          <w:numId w:val="1"/>
        </w:numPr>
        <w:spacing w:after="80"/>
      </w:pPr>
      <w:r>
        <w:t xml:space="preserve">Cash-intensive or high-risk industries, such as casinos.</w:t>
      </w:r>
    </w:p>
    <w:p>
      <w:pPr>
        <w:pStyle w:val="ListParagraph"/>
        <w:numPr>
          <w:ilvl w:val="0"/>
          <w:numId w:val="1"/>
        </w:numPr>
        <w:spacing w:after="80"/>
      </w:pPr>
      <w:r>
        <w:t xml:space="preserve">High-risk jurisdictions, including those known for corruption or weak AML controls.</w:t>
      </w:r>
    </w:p>
    <w:p>
      <w:pPr>
        <w:pStyle w:val="ListParagraph"/>
        <w:numPr>
          <w:ilvl w:val="0"/>
          <w:numId w:val="1"/>
        </w:numPr>
        <w:spacing w:after="80"/>
      </w:pPr>
      <w:r>
        <w:t xml:space="preserve">Complex, layered ownership structures that serve no evident business purpose.</w:t>
      </w:r>
    </w:p>
    <w:p>
      <w:pPr>
        <w:pStyle w:val="ListParagraph"/>
        <w:numPr>
          <w:ilvl w:val="0"/>
          <w:numId w:val="1"/>
        </w:numPr>
        <w:spacing w:after="80"/>
      </w:pPr>
      <w:r>
        <w:t xml:space="preserve">Requests to route funds through the lawyer's trust account without an underlying legal service.</w:t>
      </w:r>
    </w:p>
    <w:p>
      <w:pPr>
        <w:spacing w:after="160"/>
      </w:pPr>
      <w:r>
        <w:t xml:space="preserve">When the risk is significant, appropriate steps include verifying identity and residence, obtaining references, screening against the Treasury Department's Office of Foreign Assets Control (OFAC) Specially Designated Nationals list, and obtaining a plausible, substantiated explanation of the transaction's business purpose and of any need for confidentiality. If the lawyer concludes the objective is unlawful, the lawyer must decline or withdraw. Model Rule 1.16(a)(1), (a)(4).</w:t>
      </w:r>
    </w:p>
    <w:p>
      <w:pPr>
        <w:pStyle w:val="Heading2"/>
        <w:spacing w:after="120" w:before="240"/>
      </w:pPr>
      <w:r>
        <w:rPr>
          <w:b/>
          <w:bCs/>
        </w:rPr>
        <w:t xml:space="preserve">Proposed Reforms</w:t>
      </w:r>
    </w:p>
    <w:p>
      <w:pPr>
        <w:pStyle w:val="ListParagraph"/>
        <w:numPr>
          <w:ilvl w:val="0"/>
          <w:numId w:val="1"/>
        </w:numPr>
        <w:spacing w:after="80"/>
      </w:pPr>
      <w:r>
        <w:t xml:space="preserve">Clarify that Rule 1.2(d) applies to prospective clients.</w:t>
      </w:r>
    </w:p>
    <w:p>
      <w:pPr>
        <w:pStyle w:val="ListParagraph"/>
        <w:numPr>
          <w:ilvl w:val="0"/>
          <w:numId w:val="1"/>
        </w:numPr>
        <w:spacing w:after="80"/>
      </w:pPr>
      <w:r>
        <w:t xml:space="preserve">Make explicit a duty of due diligence when red flags are present.</w:t>
      </w:r>
    </w:p>
    <w:p>
      <w:pPr>
        <w:pStyle w:val="ListParagraph"/>
        <w:numPr>
          <w:ilvl w:val="0"/>
          <w:numId w:val="1"/>
        </w:numPr>
        <w:spacing w:after="80"/>
      </w:pPr>
      <w:r>
        <w:t xml:space="preserve">Require an affirmative statement to the client that the lawyer will not assist illegal conduct.</w:t>
      </w:r>
    </w:p>
    <w:p>
      <w:pPr>
        <w:pStyle w:val="ListParagraph"/>
        <w:numPr>
          <w:ilvl w:val="0"/>
          <w:numId w:val="1"/>
        </w:numPr>
        <w:spacing w:after="80"/>
      </w:pPr>
      <w:r>
        <w:t xml:space="preserve">As a narrower alternative to suspicious-activity reporting, require disclosure of</w:t>
      </w:r>
      <w:r>
        <w:rPr>
          <w:i/>
          <w:iCs/>
        </w:rPr>
        <w:t xml:space="preserve">known</w:t>
      </w:r>
      <w:r>
        <w:t xml:space="preserve">ongoing or planned client crimes, building on permissive rules such as New York's.</w:t>
      </w:r>
    </w:p>
    <w:p>
      <w:pPr>
        <w:pStyle w:val="Heading2"/>
        <w:spacing w:after="120" w:before="240"/>
      </w:pPr>
      <w:r>
        <w:rPr>
          <w:b/>
          <w:bCs/>
        </w:rPr>
        <w:t xml:space="preserve">Ethics of Undercover Investigations</w:t>
      </w:r>
    </w:p>
    <w:p>
      <w:pPr>
        <w:spacing w:after="160"/>
      </w:pPr>
      <w:r>
        <w:t xml:space="preserve">A real client could disclose a lawyer's advice, because confidentiality and privilege belong to the client. The ethical question arises from the investigator's deception and secret recording. New York permits one-party-consent recording (N.Y. Penal Law §§ 250.00, 250.05). According to Professor Simon, the investigators avoided Delaware because secret taping is unlawful there. Journalistic ethics codes generally permit deception only when no other effective means of obtaining the information exists.</w:t>
      </w:r>
    </w:p>
    <w:p>
      <w:pPr>
        <w:pStyle w:val="Heading2"/>
        <w:spacing w:after="120" w:before="240"/>
      </w:pPr>
      <w:r>
        <w:rPr>
          <w:b/>
          <w:bCs/>
        </w:rPr>
        <w:t xml:space="preserve">Developments to Know</w:t>
      </w:r>
    </w:p>
    <w:p>
      <w:pPr>
        <w:pStyle w:val="ListParagraph"/>
        <w:numPr>
          <w:ilvl w:val="0"/>
          <w:numId w:val="1"/>
        </w:numPr>
        <w:spacing w:after="80"/>
      </w:pPr>
      <w:r>
        <w:rPr>
          <w:b/>
          <w:bCs/>
        </w:rPr>
        <w:t xml:space="preserve">ABA Formal Opinion 491 (April 29, 2020).</w:t>
      </w:r>
      <w:r>
        <w:t xml:space="preserve">Confirms that Rule 1.2(d) reaches willful blindness and imposes a duty to inquire when a lawyer faces a high probability that a client seeks to use the lawyer's services for a crime or fraud.</w:t>
      </w:r>
    </w:p>
    <w:p>
      <w:pPr>
        <w:pStyle w:val="ListParagraph"/>
        <w:numPr>
          <w:ilvl w:val="0"/>
          <w:numId w:val="1"/>
        </w:numPr>
        <w:spacing w:after="80"/>
      </w:pPr>
      <w:r>
        <w:rPr>
          <w:b/>
          <w:bCs/>
        </w:rPr>
        <w:t xml:space="preserve">Amended Model Rule 1.16(a) (ABA Resolution 100, August 2023).</w:t>
      </w:r>
      <w:r>
        <w:t xml:space="preserve">Adds that "a lawyer shall inquire into and assess the facts and circumstances of each representation to determine whether the lawyer may accept or continue the representation." Amended Comments [1] and [2] describe a continuing, risk-based duty and refer to FATF and Treasury guidance. Adoption by the states is ongoing.</w:t>
      </w:r>
    </w:p>
    <w:p>
      <w:pPr>
        <w:pStyle w:val="ListParagraph"/>
        <w:numPr>
          <w:ilvl w:val="0"/>
          <w:numId w:val="1"/>
        </w:numPr>
        <w:spacing w:after="80"/>
      </w:pPr>
      <w:r>
        <w:rPr>
          <w:b/>
          <w:bCs/>
        </w:rPr>
        <w:t xml:space="preserve">Corporate Transparency Act, 31 U.S.C. § 5336 (enacted January 1, 2021).</w:t>
      </w:r>
      <w:r>
        <w:t xml:space="preserve">Created federal beneficial ownership reporting to FinCEN. By interim final rule (March 26, 2025) and final rule (effective August 14, 2026), FinCEN exempted domestic companies and U.S. persons from reporting.</w:t>
      </w:r>
    </w:p>
    <w:p>
      <w:pPr>
        <w:pStyle w:val="ListParagraph"/>
        <w:numPr>
          <w:ilvl w:val="0"/>
          <w:numId w:val="1"/>
        </w:numPr>
        <w:spacing w:after="80"/>
      </w:pPr>
      <w:r>
        <w:rPr>
          <w:b/>
          <w:bCs/>
        </w:rPr>
        <w:t xml:space="preserve">FinCEN Residential Real Estate Rule, 31 C.F.R. Part 1031.</w:t>
      </w:r>
      <w:r>
        <w:t xml:space="preserve">Would have required reporting of certain non-financed transfers of residential real estate to entities and trusts. It was vacated by the U.S. District Court for the Eastern District of Texas on March 19, 2026, and the government's appeal is pending in the Fifth Circuit. Reports are not required while the vacatur remains in effect.</w:t>
      </w:r>
    </w:p>
    <w:p>
      <w:pPr>
        <w:pStyle w:val="ListParagraph"/>
        <w:numPr>
          <w:ilvl w:val="0"/>
          <w:numId w:val="1"/>
        </w:numPr>
        <w:spacing w:after="80"/>
      </w:pPr>
      <w:r>
        <w:rPr>
          <w:b/>
          <w:bCs/>
        </w:rPr>
        <w:t xml:space="preserve">Gatekeeper legislation.</w:t>
      </w:r>
      <w:r>
        <w:t xml:space="preserve">Bills to extend Bank Secrecy Act obligations to lawyers and other professionals who form entities or move funds, including the ENABLERS Act, have been introduced in Congress but not enacted.</w:t>
      </w:r>
    </w:p>
    <w:p>
      <w:pPr>
        <w:pStyle w:val="ListParagraph"/>
        <w:numPr>
          <w:ilvl w:val="0"/>
          <w:numId w:val="1"/>
        </w:numPr>
        <w:spacing w:after="80"/>
      </w:pPr>
      <w:r>
        <w:rPr>
          <w:b/>
          <w:bCs/>
        </w:rPr>
        <w:t xml:space="preserve">FATF review.</w:t>
      </w:r>
      <w:r>
        <w:t xml:space="preserve">The United States' 2024 follow-up report still rated Recommendations 22, 23, and 28 non-compliant. The U.S. fifth-round FATF mutual evaluation is under way, with the on-site assessment conducted in early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2026-09-28T18:12:26.246Z</dcterms:created>
  <dcterms:modified xsi:type="dcterms:W3CDTF">2026-09-28T18:12:26.246Z</dcterms:modified>
</cp:coreProperties>
</file>

<file path=docProps/custom.xml><?xml version="1.0" encoding="utf-8"?>
<Properties xmlns="http://schemas.openxmlformats.org/officeDocument/2006/custom-properties" xmlns:vt="http://schemas.openxmlformats.org/officeDocument/2006/docPropsVTypes"/>
</file>