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b w:val="1"/>
          <w:bCs w:val="1"/>
          <w:sz w:val="28"/>
          <w:szCs w:val="28"/>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b w:val="1"/>
          <w:bCs w:val="1"/>
          <w:sz w:val="28"/>
          <w:szCs w:val="28"/>
          <w:rtl w:val="0"/>
        </w:rPr>
        <w:t xml:space="preserve">Using Lawyers to Launder Money</w:t>
      </w:r>
      <w:r w:rsidDel="00000000" w:rsidR="00000000" w:rsidRPr="00000000">
        <w:rPr>
          <w:rtl w:val="0"/>
        </w:rPr>
      </w:r>
    </w:p>
    <w:p w:rsidR="00000000" w:rsidDel="00000000" w:rsidP="00000000" w:rsidRDefault="00000000" w:rsidRPr="00000000" w14:paraId="00000003">
      <w:pPr>
        <w:spacing w:after="80" w:lineRule="auto"/>
        <w:jc w:val="center"/>
        <w:rPr/>
      </w:pPr>
      <w:r w:rsidDel="00000000" w:rsidR="00000000" w:rsidRPr="00000000">
        <w:rPr>
          <w:b w:val="0"/>
          <w:bCs w:val="0"/>
          <w:sz w:val="22"/>
          <w:szCs w:val="22"/>
          <w:rtl w:val="0"/>
        </w:rPr>
        <w:t xml:space="preserve">Based on a TalksOnLaw interview with Professor William Simon</w:t>
      </w:r>
      <w:r w:rsidDel="00000000" w:rsidR="00000000" w:rsidRPr="00000000">
        <w:rPr>
          <w:rtl w:val="0"/>
        </w:rPr>
      </w:r>
    </w:p>
    <w:p w:rsidR="00000000" w:rsidDel="00000000" w:rsidP="00000000" w:rsidRDefault="00000000" w:rsidRPr="00000000" w14:paraId="00000004">
      <w:pPr>
        <w:spacing w:after="80" w:lineRule="auto"/>
        <w:rPr/>
      </w:pPr>
      <w:r w:rsidDel="00000000" w:rsidR="00000000" w:rsidRPr="00000000">
        <w:rPr>
          <w:rtl w:val="0"/>
        </w:rPr>
      </w:r>
    </w:p>
    <w:p w:rsidR="00000000" w:rsidDel="00000000" w:rsidP="00000000" w:rsidRDefault="00000000" w:rsidRPr="00000000" w14:paraId="00000005">
      <w:pPr>
        <w:spacing w:after="80" w:lineRule="auto"/>
        <w:rPr/>
      </w:pPr>
      <w:r w:rsidDel="00000000" w:rsidR="00000000" w:rsidRPr="00000000">
        <w:rPr>
          <w:rtl w:val="0"/>
        </w:rPr>
        <w:t xml:space="preserve">How to Use These Materials These written materials are designed to stand alone as an instructional tool. They track and elaborate on the topics discussed in the interview, provide definitions and practical checklists, and include additional reference material attorneys can use after the course. They are not legal advice. Breach response is fact-specific and should be undertaken with qualified counsel, forensic professionals, and other advisors as appropriate.</w:t>
      </w:r>
    </w:p>
    <w:p w:rsidR="00000000" w:rsidDel="00000000" w:rsidP="00000000" w:rsidRDefault="00000000" w:rsidRPr="00000000" w14:paraId="00000006">
      <w:pPr>
        <w:pStyle w:val="Heading1"/>
        <w:spacing w:after="80" w:lineRule="auto"/>
        <w:rPr/>
      </w:pPr>
      <w:r w:rsidDel="00000000" w:rsidR="00000000" w:rsidRPr="00000000">
        <w:rPr>
          <w:rtl w:val="0"/>
        </w:rPr>
        <w:t xml:space="preserve">1. Overview and Learning Objectives</w:t>
      </w:r>
    </w:p>
    <w:p w:rsidR="00000000" w:rsidDel="00000000" w:rsidP="00000000" w:rsidRDefault="00000000" w:rsidRPr="00000000" w14:paraId="00000007">
      <w:pPr>
        <w:spacing w:after="80" w:lineRule="auto"/>
        <w:rPr/>
      </w:pPr>
      <w:r w:rsidDel="00000000" w:rsidR="00000000" w:rsidRPr="00000000">
        <w:rPr>
          <w:rtl w:val="0"/>
        </w:rPr>
        <w:t xml:space="preserve">This program examines how lawyers may knowingly or unwittingly facilitate money laundering and what professional obligations arise once suspicious facts appear. The interview uses the 2016 Global Witness sting and the Panama Papers leak to show why lawyers are attractive intermediaries: they can create companies and trusts, move money through trust or escrow accounts, structure real estate transactions, and add legitimacy to opaque transfers. The discussion then connects those examples to federal money laundering law, ethical duties of inquiry, confidentiality limits, withdrawal, and current reform efforts.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the core statutory framework: 18 U.S.C. §§ 1956 and 1957, the Bank Secrecy Act, and related tax issues.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Recognize why lawyers are often used in the layering and integration stages of laundering.</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Apply Model Rules 1.2(d), 1.6, and 1.16 to suspicious client requests, including at intake.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practical red flags that should trigger heightened due diligence or refusal.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current developments through 2026, including beneficial ownership reporting changes, real-estate reporting litigation, and FATF criticism of U.S. gatekeeper regulation.</w:t>
      </w:r>
    </w:p>
    <w:p w:rsidR="00000000" w:rsidDel="00000000" w:rsidP="00000000" w:rsidRDefault="00000000" w:rsidRPr="00000000" w14:paraId="0000000D">
      <w:pPr>
        <w:pStyle w:val="Heading1"/>
        <w:spacing w:after="80" w:lineRule="auto"/>
        <w:rPr/>
      </w:pPr>
      <w:r w:rsidDel="00000000" w:rsidR="00000000" w:rsidRPr="00000000">
        <w:rPr>
          <w:rtl w:val="0"/>
        </w:rPr>
        <w:t xml:space="preserve">2. Why Lawyers Matter in Laundering Schemes</w:t>
      </w:r>
    </w:p>
    <w:p w:rsidR="00000000" w:rsidDel="00000000" w:rsidP="00000000" w:rsidRDefault="00000000" w:rsidRPr="00000000" w14:paraId="0000000E">
      <w:pPr>
        <w:spacing w:after="80" w:lineRule="auto"/>
        <w:rPr/>
      </w:pPr>
      <w:r w:rsidDel="00000000" w:rsidR="00000000" w:rsidRPr="00000000">
        <w:rPr>
          <w:rtl w:val="0"/>
        </w:rPr>
        <w:t xml:space="preserve">Professor Simon’s core point is structural: lawyers are valuable to launderers because they can help convert suspicious wealth into transactions that look ordinary. The Global Witness operation tested that reality. An undercover investigator posed as an advisor to a foreign mining minister seeking to move suspect funds into the United States. According to the interview and the original written materials, 12 of 13 firms suggested possible strategies, including anonymous companies, trust structures, and use of law-firm accounts. Some asked follow-up questions, but the larger lesson is that several lawyers moved into strategic advice before basic facts had been established.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ethical risk begins before a matter is fully formed: detailed advice to a prospective client can still assist wrongdoing.</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United States is attractive because it combines stable institutions with sophisticated entity law and, in some settings, significant ownership opacity.</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Panama Papers example broadens the lesson: legal structures can be lawful in form while still being used for fraud, tax evasion, or concealment.</w:t>
      </w:r>
    </w:p>
    <w:p w:rsidR="00000000" w:rsidDel="00000000" w:rsidP="00000000" w:rsidRDefault="00000000" w:rsidRPr="00000000" w14:paraId="00000012">
      <w:pPr>
        <w:pStyle w:val="Heading1"/>
        <w:spacing w:after="80" w:lineRule="auto"/>
        <w:rPr/>
      </w:pPr>
      <w:r w:rsidDel="00000000" w:rsidR="00000000" w:rsidRPr="00000000">
        <w:rPr>
          <w:rtl w:val="0"/>
        </w:rPr>
        <w:t xml:space="preserve">3. Money Laundering Law Basics</w:t>
      </w:r>
    </w:p>
    <w:p w:rsidR="00000000" w:rsidDel="00000000" w:rsidP="00000000" w:rsidRDefault="00000000" w:rsidRPr="00000000" w14:paraId="00000013">
      <w:pPr>
        <w:spacing w:after="80" w:lineRule="auto"/>
        <w:rPr/>
      </w:pPr>
      <w:r w:rsidDel="00000000" w:rsidR="00000000" w:rsidRPr="00000000">
        <w:rPr>
          <w:rtl w:val="0"/>
        </w:rPr>
        <w:t xml:space="preserve">Money laundering is generally understood as moving dirty money through transactions designed to disguise its source or make it appear legitimate. The interview emphasizes concealment as the defining feature. Lawyers may encounter laundering not as obvious criminal cash, but as a transaction that is opaque, rushed, unnecessarily secretive, or economically irrational.</w:t>
      </w:r>
    </w:p>
    <w:p w:rsidR="00000000" w:rsidDel="00000000" w:rsidP="00000000" w:rsidRDefault="00000000" w:rsidRPr="00000000" w14:paraId="00000014">
      <w:pPr>
        <w:pStyle w:val="Heading2"/>
        <w:spacing w:after="80" w:lineRule="auto"/>
        <w:rPr/>
      </w:pPr>
      <w:r w:rsidDel="00000000" w:rsidR="00000000" w:rsidRPr="00000000">
        <w:rPr>
          <w:rtl w:val="0"/>
        </w:rPr>
        <w:t xml:space="preserve">3.1 Key federal statutes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U.S.C. § 1956 broadly criminalizes transactions involving criminal proceeds when done to conceal source, ownership, location, or control, to promote unlawful activity, or to evade taxes or similar restrictions.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U.S.C. § 1957 separately prohibits monetary transactions over $10,000 involving property derived from specified unlawful activity.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Bank Secrecy Act imposes reporting and recordkeeping duties on financial institutions; lawyers often operate adjacent to that regime, which is part of why reformers focus on them as under-regulated gatekeepers.</w:t>
      </w:r>
    </w:p>
    <w:p w:rsidR="00000000" w:rsidDel="00000000" w:rsidP="00000000" w:rsidRDefault="00000000" w:rsidRPr="00000000" w14:paraId="00000018">
      <w:pPr>
        <w:pStyle w:val="Heading2"/>
        <w:spacing w:after="80" w:lineRule="auto"/>
        <w:rPr/>
      </w:pPr>
      <w:r w:rsidDel="00000000" w:rsidR="00000000" w:rsidRPr="00000000">
        <w:rPr>
          <w:rtl w:val="0"/>
        </w:rPr>
        <w:t xml:space="preserve">3.2 Typical stages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Placement: introducing illicit funds into the financial system.</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Layering: using multiple transfers, shell entities, trusts, or cross-border steps to obscure the trail.</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Integration: returning the funds in a form that appears legitimate, such as real estate, securities, or business assets.</w:t>
      </w:r>
    </w:p>
    <w:p w:rsidR="00000000" w:rsidDel="00000000" w:rsidP="00000000" w:rsidRDefault="00000000" w:rsidRPr="00000000" w14:paraId="0000001C">
      <w:pPr>
        <w:pStyle w:val="Heading1"/>
        <w:spacing w:after="80" w:lineRule="auto"/>
        <w:rPr/>
      </w:pPr>
      <w:r w:rsidDel="00000000" w:rsidR="00000000" w:rsidRPr="00000000">
        <w:rPr>
          <w:rtl w:val="0"/>
        </w:rPr>
        <w:t xml:space="preserve">4. Ethical Duties: Inquiry, Confidentiality, and Withdrawal</w:t>
      </w:r>
    </w:p>
    <w:p w:rsidR="00000000" w:rsidDel="00000000" w:rsidP="00000000" w:rsidRDefault="00000000" w:rsidRPr="00000000" w14:paraId="0000001D">
      <w:pPr>
        <w:spacing w:after="80" w:lineRule="auto"/>
        <w:rPr/>
      </w:pPr>
      <w:r w:rsidDel="00000000" w:rsidR="00000000" w:rsidRPr="00000000">
        <w:rPr>
          <w:rtl w:val="0"/>
        </w:rPr>
        <w:t xml:space="preserve">The interview rejects strategic ignorance. A lawyer may not deliberately avoid learning facts in order to preserve deniability. If circumstances suggest that a proposed matter may involve laundering, corruption, sanctions evasion, or fraud, the lawyer must ask enough questions to decide whether any lawful representation exists.</w:t>
      </w:r>
    </w:p>
    <w:p w:rsidR="00000000" w:rsidDel="00000000" w:rsidP="00000000" w:rsidRDefault="00000000" w:rsidRPr="00000000" w14:paraId="0000001E">
      <w:pPr>
        <w:pStyle w:val="Heading2"/>
        <w:spacing w:after="80" w:lineRule="auto"/>
        <w:rPr/>
      </w:pPr>
      <w:r w:rsidDel="00000000" w:rsidR="00000000" w:rsidRPr="00000000">
        <w:rPr>
          <w:rtl w:val="0"/>
        </w:rPr>
        <w:t xml:space="preserve">4.1 Rule 1.2(d): no counseling or assisting crime or fraud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Professor Simon’s view is that the policy of Rule 1.2(d) applies to prospective clients as well as actual clients, because the harm of empowering wrongdoing does not depend on a signed engagement letter.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lawyer who gives detailed structuring advice before establishing identity, source of funds, and lawful purpose risks assisting improper conduct.</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Willful blindness is not a defense; the lawyer has a duty to inquire further once warning signs appear.</w:t>
      </w:r>
    </w:p>
    <w:p w:rsidR="00000000" w:rsidDel="00000000" w:rsidP="00000000" w:rsidRDefault="00000000" w:rsidRPr="00000000" w14:paraId="00000022">
      <w:pPr>
        <w:pStyle w:val="Heading2"/>
        <w:spacing w:after="80" w:lineRule="auto"/>
        <w:rPr/>
      </w:pPr>
      <w:r w:rsidDel="00000000" w:rsidR="00000000" w:rsidRPr="00000000">
        <w:rPr>
          <w:rtl w:val="0"/>
        </w:rPr>
        <w:t xml:space="preserve">4.2 Due diligence as competent representation</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client and beneficial owner.</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 source of funds and source of wealth.</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why secrecy is needed and whether the reason is plausible and documentable.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heightened diligence for politically exposed persons, high-risk geographies, real estate, trusts, and unusual urgency.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Run OFAC screening where appropriate and document what was checked.</w:t>
      </w:r>
    </w:p>
    <w:p w:rsidR="00000000" w:rsidDel="00000000" w:rsidP="00000000" w:rsidRDefault="00000000" w:rsidRPr="00000000" w14:paraId="00000028">
      <w:pPr>
        <w:pStyle w:val="Heading2"/>
        <w:spacing w:after="80" w:lineRule="auto"/>
        <w:rPr/>
      </w:pPr>
      <w:r w:rsidDel="00000000" w:rsidR="00000000" w:rsidRPr="00000000">
        <w:rPr>
          <w:rtl w:val="0"/>
        </w:rPr>
        <w:t xml:space="preserve">4.3 Rule 1.16 withdrawal and Rule 1.6 confidentiality</w:t>
      </w:r>
    </w:p>
    <w:p w:rsidR="00000000" w:rsidDel="00000000" w:rsidP="00000000" w:rsidRDefault="00000000" w:rsidRPr="00000000" w14:paraId="00000029">
      <w:pPr>
        <w:spacing w:after="80" w:lineRule="auto"/>
        <w:rPr/>
      </w:pPr>
      <w:r w:rsidDel="00000000" w:rsidR="00000000" w:rsidRPr="00000000">
        <w:rPr>
          <w:rtl w:val="0"/>
        </w:rPr>
        <w:t xml:space="preserve">Once the lawyer concludes that the client is trying to use the lawyer’s services for crime or fraud, the path is to refuse or withdraw. The lawyer should not refer the client elsewhere to accomplish work the lawyer believes is improper. Confidentiality complicates the picture because states vary on whether a lawyer may disclose information to prevent crime or fraud. The interview uses New York and California to illustrate that local rules matter; lawyers must consult the governing rule before assuming disclosure is permitted or required.</w:t>
      </w:r>
    </w:p>
    <w:p w:rsidR="00000000" w:rsidDel="00000000" w:rsidP="00000000" w:rsidRDefault="00000000" w:rsidRPr="00000000" w14:paraId="0000002A">
      <w:pPr>
        <w:pStyle w:val="Heading1"/>
        <w:spacing w:after="80" w:lineRule="auto"/>
        <w:rPr/>
      </w:pPr>
      <w:r w:rsidDel="00000000" w:rsidR="00000000" w:rsidRPr="00000000">
        <w:rPr>
          <w:rtl w:val="0"/>
        </w:rPr>
        <w:t xml:space="preserve">5. Red Flags and Best Practices</w:t>
      </w:r>
    </w:p>
    <w:p w:rsidR="00000000" w:rsidDel="00000000" w:rsidP="00000000" w:rsidRDefault="00000000" w:rsidRPr="00000000" w14:paraId="0000002B">
      <w:pPr>
        <w:spacing w:after="80" w:lineRule="auto"/>
        <w:rPr/>
      </w:pPr>
      <w:r w:rsidDel="00000000" w:rsidR="00000000" w:rsidRPr="00000000">
        <w:rPr>
          <w:rtl w:val="0"/>
        </w:rPr>
        <w:t xml:space="preserve">The original written materials identify common warning signs. The interview explains why they matter: laundering usually appears as concealment without a persuasive lawful reason.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Assets or cash flow disproportionate to the client’s known income or business.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Multiple foreign accounts or layered entities with no coherent operational purpose.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of shell companies, trusts, or nominees without a plausible business explanation.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Assets purchased with cash and quickly used as collateral.</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Reluctance to identify beneficial owners or explain source of funds.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Unusual urgency, especially in real estate or cross-border transfers.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Politically exposed persons or persons linked to corruption risk.</w:t>
      </w:r>
    </w:p>
    <w:p w:rsidR="00000000" w:rsidDel="00000000" w:rsidP="00000000" w:rsidRDefault="00000000" w:rsidRPr="00000000" w14:paraId="00000033">
      <w:pPr>
        <w:pStyle w:val="Heading2"/>
        <w:spacing w:after="80" w:lineRule="auto"/>
        <w:rPr/>
      </w:pPr>
      <w:r w:rsidDel="00000000" w:rsidR="00000000" w:rsidRPr="00000000">
        <w:rPr>
          <w:rtl w:val="0"/>
        </w:rPr>
        <w:t xml:space="preserve">5.1 Practical intake checklist</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Verify identity and beneficial ownership before giving detailed strategic advice.</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for the source of funds and the business purpose of the transaction.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Treat secrecy as a separate issue: ask why it is necessary.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Preserve enough documentation to show what diligence was performed and why the matter was accepted or declined.</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facts remain vague after reasonable follow-up, treat that as a signal rather than an inconvenience.</w:t>
      </w:r>
    </w:p>
    <w:p w:rsidR="00000000" w:rsidDel="00000000" w:rsidP="00000000" w:rsidRDefault="00000000" w:rsidRPr="00000000" w14:paraId="00000039">
      <w:pPr>
        <w:pStyle w:val="Heading1"/>
        <w:spacing w:after="80" w:lineRule="auto"/>
        <w:rPr/>
      </w:pPr>
      <w:r w:rsidDel="00000000" w:rsidR="00000000" w:rsidRPr="00000000">
        <w:rPr>
          <w:rtl w:val="0"/>
        </w:rPr>
        <w:t xml:space="preserve">6. Current Developments Through 2026</w:t>
      </w:r>
    </w:p>
    <w:p w:rsidR="00000000" w:rsidDel="00000000" w:rsidP="00000000" w:rsidRDefault="00000000" w:rsidRPr="00000000" w14:paraId="0000003A">
      <w:pPr>
        <w:spacing w:after="80" w:lineRule="auto"/>
        <w:rPr/>
      </w:pPr>
      <w:r w:rsidDel="00000000" w:rsidR="00000000" w:rsidRPr="00000000">
        <w:rPr>
          <w:rtl w:val="0"/>
        </w:rPr>
        <w:t xml:space="preserve">The anti-money-laundering landscape has changed since the original written materials. These updates matter because they affect how much external transparency lawyers can rely on and where diligence gaps remain.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Beneficial ownership reporting: FinCEN’s March 2025 interim final rule removed BOI reporting requirements for U.S. companies and U.S. persons, leaving a narrower regime focused on foreign reporting companies.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Residential real estate reporting: FinCEN finalized a reporting rule in 2024 with a December 1, 2025 effective date, but a federal district court vacated it in March 2026; FinCEN’s May 18, 2026 FAQs state reports are not currently required while the order remains in force.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FATF review: FATF’s 2024 U.S. follow-up report improved the U.S. rating on beneficial ownership transparency, but the broader gatekeeper debate about lawyers remains unresolved.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Panama Papers update: Reuters reported in June 2024 that a Panamanian court acquitted 28 defendants tied to the Panama Papers and Operation Car Wash matters; that procedural result does not change the interview’s broader lesson about secrecy structures and professional enablers.</w:t>
      </w:r>
    </w:p>
    <w:p w:rsidR="00000000" w:rsidDel="00000000" w:rsidP="00000000" w:rsidRDefault="00000000" w:rsidRPr="00000000" w14:paraId="0000003F">
      <w:pPr>
        <w:pStyle w:val="Heading1"/>
        <w:spacing w:after="80" w:lineRule="auto"/>
        <w:rPr/>
      </w:pPr>
      <w:r w:rsidDel="00000000" w:rsidR="00000000" w:rsidRPr="00000000">
        <w:rPr>
          <w:rtl w:val="0"/>
        </w:rPr>
        <w:t xml:space="preserve">7. Resources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Global Witness mission statement: https://www.globalwitness.org/en/about-us/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U.S.C. § 1956 (Cornell LII): https://www.law.cornell.edu/uscode/text/18/1956</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 U.S.C. § 1957 (Cornell LII): https://www.law.cornell.edu/uscode/text/18/1957</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Model Rule 1.2: https://www.americanbar.org/groups/professional_responsibility/publications/model_rules_of_professional_conduct/rule_1_2_scope_of_representation_allocation_of_authority_between_client_lawyer.html</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Model Rule 1.16: https://www.americanbar.org/groups/professional_responsibility/publications/model_rules_of_professional_conduct/rule_1_16_declining_or_terminating_representation.html</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ABA Model Rule 1.6: https://www.americanbar.org/groups/professional_responsibility/publications/model_rules_of_professional_conduct/rule_1_6_confidentiality_of_information.html</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FinCEN beneficial ownership information page: https://www.fincen.gov/boi</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FinCEN real estate reporting page and FAQs: https://www.fincen.gov/rre and https://www.fincen.gov/rre-faqs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FATF United States 2024 follow-up report: https://www.fatf-gafi.org/en/publications/Mutualevaluations/united-states-fur-2024.html</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Global Witness ‘Lowering the Bar’ report: https://www.globalwitness.org/en/reports/loweringthebar/</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OFAC sanctions search and guidance: https://ofac.treasury.gov/</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Reuters report on June 2024 Panama Papers acquittals: https://www.reuters.com/world/americas/panama-court-acquits-28-people-tied-panama-papers-operation-car-wash-2024-06-29/</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MPcpOA1SeoZyk4B5xVZSdKOhDA==">CgMxLjA4AHIhMXRPS3Q1QUhaOXFoOUxiaS1YMkloMmtzUTlaWVVyQVZh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