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The Language Conundrum - Access to Justice</w:t>
      </w:r>
    </w:p>
    <w:p>
      <w:pPr>
        <w:spacing w:after="200"/>
      </w:pPr>
      <w:r>
        <w:rPr>
          <w:rFonts w:ascii="Montserrat" w:cs="Montserrat" w:eastAsia="Montserrat" w:hAnsi="Montserrat"/>
          <w:b/>
          <w:bCs/>
          <w:color w:val="E87722"/>
          <w:sz w:val="24"/>
          <w:szCs w:val="24"/>
        </w:rPr>
        <w:t xml:space="preserve">Judge Raja Rajeswari</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access to justice for court users with limited English proficiency. It addresses the constitutional and statutory foundations of the right to an interpreter, the framework governing interpreter services in the New York State courts, federal civil rights law bearing on language access, the requirements for a knowing and voluntary plea, interpreter qualification and ethics, attorney-client communication through interpreters, and the practical challenges of trial practice with interpreted testimony.</w:t>
      </w:r>
    </w:p>
    <w:p>
      <w:pPr>
        <w:pStyle w:val="Heading2"/>
        <w:spacing w:after="120" w:before="240"/>
      </w:pPr>
      <w:r>
        <w:rPr>
          <w:b/>
          <w:bCs/>
        </w:rPr>
        <w:t xml:space="preserve">Constitutional Foundations</w:t>
      </w:r>
    </w:p>
    <w:p>
      <w:pPr>
        <w:spacing w:after="160"/>
      </w:pPr>
      <w:r>
        <w:t xml:space="preserve">The Due Process Clause of the Fourteenth Amendment and the Sixth Amendment rights to counsel and to confront witnesses require that a criminal defendant be able to understand the proceedings and communicate with counsel. In United States ex rel. Negron v. New York (2d Cir. 1970), the Second Circuit held that a Spanish-speaking defendant tried without an interpreter was denied due process and the right of confrontation, describing a trial the defendant could not understand as a "babble of voices." New York courts have since recognized that a defendant who cannot understand English is entitled to an interpreter at every critical stage, and that the trial court must ensure the interpretation is adequate.</w:t>
      </w:r>
    </w:p>
    <w:p>
      <w:pPr>
        <w:pStyle w:val="Heading2"/>
        <w:spacing w:after="120" w:before="240"/>
      </w:pPr>
      <w:r>
        <w:rPr>
          <w:b/>
          <w:bCs/>
        </w:rPr>
        <w:t xml:space="preserve">The Right to an Interpreter in New York</w:t>
      </w:r>
    </w:p>
    <w:p>
      <w:pPr>
        <w:spacing w:after="160"/>
      </w:pPr>
      <w:r>
        <w:t xml:space="preserve">Judiciary Law § 387 authorizes the appointment of court interpreters, and Part 217 of the Uniform Rules for the New York State Trial Courts (22 NYCRR Part 217) requires the court to appoint an interpreter at no cost in any criminal or civil proceeding for a party or witness who is unable to understand or communicate in English to the extent reasonably necessary. Executive Order No. 26 (2011) directed state agencies to provide language access, and the Unified Court System's Office of Language Access, working from a 2011 action plan and a 2017 strategic plan, administers staff and per diem interpreters, certification examinations, and remote interpreting. The guest notes that Spanish interpreters are employed full-time in most courthouses, that other languages are served by per diem interpreters, and that the courts had received requests in nearly 200 languages.</w:t>
      </w:r>
    </w:p>
    <w:p>
      <w:pPr>
        <w:pStyle w:val="Heading2"/>
        <w:spacing w:after="120" w:before="240"/>
      </w:pPr>
      <w:r>
        <w:rPr>
          <w:b/>
          <w:bCs/>
        </w:rPr>
        <w:t xml:space="preserve">Federal Law</w:t>
      </w:r>
    </w:p>
    <w:p>
      <w:pPr>
        <w:spacing w:after="160"/>
      </w:pPr>
      <w:r>
        <w:t xml:space="preserve">The Court Interpreters Act, 28 U.S.C. § 1827, requires certified or otherwise qualified interpreters in federal proceedings instituted by the United States for parties and witnesses who speak only or primarily a language other than English. Title VI of the Civil Rights Act of 1964 prohibits national-origin discrimination by recipients of federal funds, and in Lau v. Nichols (1974) the Supreme Court held that failure to accommodate limited-English speakers can constitute such discrimination. Executive Order 13166 (2000) directed federal agencies and funding recipients to improve access for limited-English-proficient persons, and in 2010 the Department of Justice advised state court systems that Title VI required interpreter services in civil as well as criminal matters.</w:t>
      </w:r>
    </w:p>
    <w:p>
      <w:pPr>
        <w:pStyle w:val="Heading2"/>
        <w:spacing w:after="120" w:before="240"/>
      </w:pPr>
      <w:r>
        <w:rPr>
          <w:b/>
          <w:bCs/>
        </w:rPr>
        <w:t xml:space="preserve">Plea Allocutions and Collateral Consequences</w:t>
      </w:r>
    </w:p>
    <w:p>
      <w:pPr>
        <w:spacing w:after="160"/>
      </w:pPr>
      <w:r>
        <w:t xml:space="preserve">A guilty plea must be knowing, intelligent, and voluntary, and the court must ensure the defendant understands the rights being waived, including the rights to trial, to remain silent, and to confront witnesses (Boykin v. Alabama, 1969). In Padilla v. Kentucky (2010), the Supreme Court held that defense counsel must advise a non-citizen client of the deportation consequences of a plea. The guest emphasizes that a defendant who does not understand the allocution cannot waive rights meaningfully, and that immigration, custody, and civil consequences may follow even from misdemeanor dispositions.</w:t>
      </w:r>
    </w:p>
    <w:p>
      <w:pPr>
        <w:pStyle w:val="Heading2"/>
        <w:spacing w:after="120" w:before="240"/>
      </w:pPr>
      <w:r>
        <w:rPr>
          <w:b/>
          <w:bCs/>
        </w:rPr>
        <w:t xml:space="preserve">Interpreter Qualification, Ethics, and Objections</w:t>
      </w:r>
    </w:p>
    <w:p>
      <w:pPr>
        <w:spacing w:after="160"/>
      </w:pPr>
      <w:r>
        <w:t xml:space="preserve">New York court interpreters must pass written and oral examinations and are bound by the Unified Court System's Canons of Ethics for court interpreters, which require accuracy and completeness, impartiality, confidentiality, and abstention from giving legal advice or expressing opinions. Bilingual attorneys, prosecutors, and judges may not substitute their own understanding for a certified interpreter's rendering, though a party may object to an interpretation on the record and the court may take steps, including a second interpreter, to resolve a dispute. Complaints regarding interpreter conduct may be submitted to the Office of Language Access for review.</w:t>
      </w:r>
    </w:p>
    <w:p>
      <w:pPr>
        <w:pStyle w:val="Heading2"/>
        <w:spacing w:after="120" w:before="240"/>
      </w:pPr>
      <w:r>
        <w:rPr>
          <w:b/>
          <w:bCs/>
        </w:rPr>
        <w:t xml:space="preserve">Attorney-Client Communication Through Interpreters</w:t>
      </w:r>
    </w:p>
    <w:p>
      <w:pPr>
        <w:spacing w:after="160"/>
      </w:pPr>
      <w:r>
        <w:t xml:space="preserve">Communications between a lawyer and client through an interpreter necessary to the representation remain within the attorney-client privilege, and Rule 1.4 of the Rules of Professional Conduct requires the lawyer to explain matters to the extent reasonably necessary to permit informed decisions. The guest observes that bilingual counsel may not be sufficiently proficient in legal terminology and that the courts provide interpreters for attorney-client conferences on request.</w:t>
      </w:r>
    </w:p>
    <w:p>
      <w:pPr>
        <w:pStyle w:val="Heading2"/>
        <w:spacing w:after="120" w:before="240"/>
      </w:pPr>
      <w:r>
        <w:rPr>
          <w:b/>
          <w:bCs/>
        </w:rPr>
        <w:t xml:space="preserve">Trial Practice Considerations</w:t>
      </w:r>
    </w:p>
    <w:p>
      <w:pPr>
        <w:spacing w:after="160"/>
      </w:pPr>
      <w:r>
        <w:t xml:space="preserve">The guest identifies practical effects of interpreted testimony: cross-examination loses pace and the element of surprise, witnesses may deflect questions as not understood, accents and dialects may impede comprehension even among speakers of the same language, and disputes may arise between interpreters retained for different parties. Proceedings must be conducted in English to preserve a reviewable record, and the guest recommends adjournment rather than proceeding where an interpreter is unavailable or a party's comprehension is in doubt.</w:t>
      </w:r>
    </w:p>
    <w:p>
      <w:pPr>
        <w:pStyle w:val="Heading2"/>
        <w:spacing w:after="120" w:before="240"/>
      </w:pPr>
      <w:r>
        <w:rPr>
          <w:b/>
          <w:bCs/>
        </w:rPr>
        <w:t xml:space="preserve">Developments to Know</w:t>
      </w:r>
    </w:p>
    <w:p>
      <w:pPr>
        <w:spacing w:after="160"/>
      </w:pPr>
      <w:r>
        <w:t xml:space="preserve">The New York State Unified Court System's Office of Language Access reported providing language access to more than 400,000 court users statewide in 2025, and continues to recruit through annual written and oral examinations and a court interpreter internship program. Remote interpreting by video and telephone, expanded during the COVID-19 pandemic, is now routinely used for rare languages and brief appearances. On March 1, 2025, Executive Order 14224 designated English the official language of the United States and revoked Executive Order 13166, directing the Attorney General to rescind guidance issued under it; on July 14, 2025, the Attorney General issued an implementing memorandum, and on July 14, 2026, the Department of Justice published a notice rescinding its 2002 Title VI guidance to federal financial assistance recipients regarding limited-English-proficient persons, including the 2010 letter to state courts. Title VI, Lau v. Nichols, the Court Interpreters Act, and constitutional due process and confrontation guarantees are unaffected, and New York's interpreter requirements under Judiciary Law § 387 and 22 NYCRR Part 217 rest on state law. Several state court systems have begun pilots of AI-assisted translation for administrative and scheduling interactions, while continuing to require certified human interpreters for substantive proceedings.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2026-09-24T05:36:10.733Z</dcterms:created>
  <dcterms:modified xsi:type="dcterms:W3CDTF">2026-09-24T05:36:10.733Z</dcterms:modified>
</cp:coreProperties>
</file>

<file path=docProps/custom.xml><?xml version="1.0" encoding="utf-8"?>
<Properties xmlns="http://schemas.openxmlformats.org/officeDocument/2006/custom-properties" xmlns:vt="http://schemas.openxmlformats.org/officeDocument/2006/docPropsVTypes"/>
</file>