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A Lawyer's Addiction: Substance Use, Mental Health, and the Legal Profession</w:t>
      </w:r>
    </w:p>
    <w:p>
      <w:pPr>
        <w:spacing w:after="200"/>
      </w:pPr>
      <w:r>
        <w:rPr>
          <w:rFonts w:ascii="Montserrat" w:cs="Montserrat" w:eastAsia="Montserrat" w:hAnsi="Montserrat"/>
          <w:b/>
          <w:bCs/>
          <w:color w:val="E87722"/>
          <w:sz w:val="24"/>
          <w:szCs w:val="24"/>
        </w:rPr>
        <w:t>Brian Cuban, Attorney, Author of The Addicted Lawyer, and Addiction Recovery Advocate</w:t>
      </w:r>
    </w:p>
    <w:p>
      <w:pPr>
        <w:pStyle w:val="Heading2"/>
        <w:spacing w:after="120" w:before="240"/>
      </w:pPr>
      <w:r>
        <w:rPr>
          <w:b/>
          <w:bCs/>
        </w:rPr>
        <w:t>Overview</w:t>
      </w:r>
    </w:p>
    <w:p>
      <w:pPr>
        <w:spacing w:after="160"/>
      </w:pPr>
      <w:r>
        <w:t>This program, recorded in New York in 2018, addresses substance use disorders and mental health in the legal profession through the personal account of Brian Cuban, a Dallas lawyer who practiced for two decades while struggling with alcohol, cocaine, bulimia, and depression, and who has been in recovery since 2007. The program reviews the prevalence of problem drinking, depression, and anxiety among lawyers as measured by the 2016 ABA/Hazelden Betty Ford study and the 2026 ABA Commission on Lawyer Assistance Programs study; the professional and cultural barriers that keep lawyers from seeking help; the confidentiality of lawyer assistance programs; the relationship between impairment and professional misconduct such as neglect of client matters and misuse of client funds; the duties of supervising lawyers and colleagues; the character-and-fitness process for bar applicants; and practical steps for law schools and legal employers. It qualifies for competence, substance abuse, or mental health credit where offered.</w:t>
      </w:r>
    </w:p>
    <w:p>
      <w:pPr>
        <w:pStyle w:val="Heading2"/>
        <w:spacing w:after="120" w:before="240"/>
      </w:pPr>
      <w:r>
        <w:rPr>
          <w:b/>
          <w:bCs/>
        </w:rPr>
        <w:t>Learning Objectives</w:t>
      </w:r>
    </w:p>
    <w:p>
      <w:pPr>
        <w:pStyle w:val="ListParagraph"/>
        <w:numPr>
          <w:ilvl w:val="0"/>
          <w:numId w:val="1"/>
        </w:numPr>
        <w:spacing w:after="80"/>
      </w:pPr>
      <w:r>
        <w:t>Describe the prevalence of problem drinking, depression, anxiety, and burnout among lawyers according to the 2016 and 2026 national studies and recognize the risk factors specific to legal practice.</w:t>
      </w:r>
    </w:p>
    <w:p>
      <w:pPr>
        <w:pStyle w:val="ListParagraph"/>
        <w:numPr>
          <w:ilvl w:val="0"/>
          <w:numId w:val="1"/>
        </w:numPr>
        <w:spacing w:after="80"/>
      </w:pPr>
      <w:r>
        <w:t>Identify warning signs of impairment in colleagues, including neglect of client matters, missed deadlines, and unreturned communications, and the professional responsibility consequences under Rules 1.1, 1.3, 1.4, 1.15, and 8.4.</w:t>
      </w:r>
    </w:p>
    <w:p>
      <w:pPr>
        <w:pStyle w:val="ListParagraph"/>
        <w:numPr>
          <w:ilvl w:val="0"/>
          <w:numId w:val="1"/>
        </w:numPr>
        <w:spacing w:after="80"/>
      </w:pPr>
      <w:r>
        <w:t>Explain the confidentiality protections for lawyer assistance programs, including New York Judiciary Law § 499, and the obligations of supervising lawyers under Rules 5.1 and 5.3 and ABA Formal Opinion 03-429.</w:t>
      </w:r>
    </w:p>
    <w:p>
      <w:pPr>
        <w:pStyle w:val="ListParagraph"/>
        <w:numPr>
          <w:ilvl w:val="0"/>
          <w:numId w:val="1"/>
        </w:numPr>
        <w:spacing w:after="80"/>
      </w:pPr>
      <w:r>
        <w:t>Summarize the character-and-fitness treatment of mental health and substance use, including the 2026 revision of the NCBE standard character report application.</w:t>
      </w:r>
    </w:p>
    <w:p>
      <w:pPr>
        <w:pStyle w:val="ListParagraph"/>
        <w:numPr>
          <w:ilvl w:val="0"/>
          <w:numId w:val="1"/>
        </w:numPr>
        <w:spacing w:after="80"/>
      </w:pPr>
      <w:r>
        <w:t>Apply best practices for law schools, law firms, and bar organizations to reduce stigma and encourage lawyers to seek treatment.</w:t>
      </w:r>
    </w:p>
    <w:p>
      <w:pPr>
        <w:pStyle w:val="Heading2"/>
        <w:spacing w:after="120" w:before="240"/>
      </w:pPr>
      <w:r>
        <w:rPr>
          <w:b/>
          <w:bCs/>
        </w:rPr>
        <w:t>Prevalence of Substance Use and Mental Health Conditions Among Lawyers</w:t>
      </w:r>
    </w:p>
    <w:p>
      <w:pPr>
        <w:pStyle w:val="ListParagraph"/>
        <w:numPr>
          <w:ilvl w:val="0"/>
          <w:numId w:val="1"/>
        </w:numPr>
        <w:spacing w:after="80"/>
      </w:pPr>
      <w:r>
        <w:t>The 2016 study by the ABA Commission on Lawyer Assistance Programs and the Hazelden Betty Ford Foundation (Krill, Johnson &amp; Albert, 10 J. Addiction Med. 46) surveyed nearly 13,000 lawyers and found that 20.6 percent screened positive for hazardous, harmful, or potentially dependent drinking; the rate exceeded 30 percent among lawyers in their first ten years of practice. Twenty-eight percent reported depression, 19 percent anxiety, and 23 percent stress.</w:t>
      </w:r>
    </w:p>
    <w:p>
      <w:pPr>
        <w:pStyle w:val="ListParagraph"/>
        <w:numPr>
          <w:ilvl w:val="0"/>
          <w:numId w:val="1"/>
        </w:numPr>
        <w:spacing w:after="80"/>
      </w:pPr>
      <w:r>
        <w:t>The 2026 ABA Commission on Lawyer Assistance Programs study of approximately 37,000 lawyers in 28 jurisdictions reported depression at 21.7 percent, anxiety at 20.4 percent, and stress at 18.9 percent; 41.8 percent reported risky drinking and 26.3 percent hazardous drinking; 47.4 percent reported high burnout; and 27 percent had considered leaving the profession.</w:t>
      </w:r>
    </w:p>
    <w:p>
      <w:pPr>
        <w:pStyle w:val="ListParagraph"/>
        <w:numPr>
          <w:ilvl w:val="0"/>
          <w:numId w:val="1"/>
        </w:numPr>
        <w:spacing w:after="80"/>
      </w:pPr>
      <w:r>
        <w:t>A 2023 study (Krill et al., Healthcare) found that lawyers were twice as likely as the general population to report suicidal ideation, with high stress, overcommitment, and loneliness as leading predictors.</w:t>
      </w:r>
    </w:p>
    <w:p>
      <w:pPr>
        <w:pStyle w:val="ListParagraph"/>
        <w:numPr>
          <w:ilvl w:val="0"/>
          <w:numId w:val="1"/>
        </w:numPr>
        <w:spacing w:after="80"/>
      </w:pPr>
      <w:r>
        <w:t>Eating disorders, body dysmorphic disorder, and process addictions such as gambling occur alongside substance use and are subject to particular stigma, especially among men.</w:t>
      </w:r>
    </w:p>
    <w:p>
      <w:pPr>
        <w:pStyle w:val="Heading2"/>
        <w:spacing w:after="120" w:before="240"/>
      </w:pPr>
      <w:r>
        <w:rPr>
          <w:b/>
          <w:bCs/>
        </w:rPr>
        <w:t>Barriers to Seeking Help</w:t>
      </w:r>
    </w:p>
    <w:p>
      <w:pPr>
        <w:pStyle w:val="ListParagraph"/>
        <w:numPr>
          <w:ilvl w:val="0"/>
          <w:numId w:val="1"/>
        </w:numPr>
        <w:spacing w:after="80"/>
      </w:pPr>
      <w:r>
        <w:t>Professional identity built on control, fear of reputational harm to partnership prospects and client relationships, and a culture that equates vulnerability with weakness discourage disclosure.</w:t>
      </w:r>
    </w:p>
    <w:p>
      <w:pPr>
        <w:pStyle w:val="ListParagraph"/>
        <w:numPr>
          <w:ilvl w:val="0"/>
          <w:numId w:val="1"/>
        </w:numPr>
        <w:spacing w:after="80"/>
      </w:pPr>
      <w:r>
        <w:t>Lawyer assistance programs (LAPs) exist in every state and are confidential by statute or court rule, yet many lawyers believe they are an arm of disciplinary authorities. New York Judiciary Law § 499 provides that confidential information communicated to a bar-sponsored lawyer assistance committee is privileged on the same basis as attorney-client communications, waivable only by the person who furnished it, and that good-faith participants are immune from civil liability.</w:t>
      </w:r>
    </w:p>
    <w:p>
      <w:pPr>
        <w:pStyle w:val="ListParagraph"/>
        <w:numPr>
          <w:ilvl w:val="0"/>
          <w:numId w:val="1"/>
        </w:numPr>
        <w:spacing w:after="80"/>
      </w:pPr>
      <w:r>
        <w:t>The concept of the "high-functioning" lawyer is a myth: impaired lawyers progressively redefine normal functioning until professional consequences arrive. Intervention should seek the "highest possible bottom."</w:t>
      </w:r>
    </w:p>
    <w:p>
      <w:pPr>
        <w:pStyle w:val="Heading2"/>
        <w:spacing w:after="120" w:before="240"/>
      </w:pPr>
      <w:r>
        <w:rPr>
          <w:b/>
          <w:bCs/>
        </w:rPr>
        <w:t>Impairment and Professional Responsibility</w:t>
      </w:r>
    </w:p>
    <w:p>
      <w:pPr>
        <w:pStyle w:val="ListParagraph"/>
        <w:numPr>
          <w:ilvl w:val="0"/>
          <w:numId w:val="1"/>
        </w:numPr>
        <w:spacing w:after="80"/>
      </w:pPr>
      <w:r>
        <w:t>Impairment commonly manifests as neglect: missed deadlines, failure to communicate (Rule 1.4), lack of diligence (Rule 1.3), and incompetence (Rule 1.1). Misuse of client funds (Rule 1.15), often associated with gambling or financial desperation, is among the most serious and least survivable forms of misconduct.</w:t>
      </w:r>
    </w:p>
    <w:p>
      <w:pPr>
        <w:pStyle w:val="ListParagraph"/>
        <w:numPr>
          <w:ilvl w:val="0"/>
          <w:numId w:val="1"/>
        </w:numPr>
        <w:spacing w:after="80"/>
      </w:pPr>
      <w:r>
        <w:t>ABA Formal Opinion 03-429 (2003) addresses obligations when a lawyer in the firm is impaired: partners and supervising lawyers must take reasonable steps under Rules 5.1 and 5.3 to ensure compliance, which may include restricting the impaired lawyer's work, and the firm may need to notify clients when a lawyer's impairment has affected their matters. ABA Formal Opinion 03-431 addresses a lawyer's duty under Rule 8.3 to report another lawyer's impairment that raises a substantial question about fitness.</w:t>
      </w:r>
    </w:p>
    <w:p>
      <w:pPr>
        <w:pStyle w:val="ListParagraph"/>
        <w:numPr>
          <w:ilvl w:val="0"/>
          <w:numId w:val="1"/>
        </w:numPr>
        <w:spacing w:after="80"/>
      </w:pPr>
      <w:r>
        <w:t>Colleagues' informal intervention, raising concerns directly and early, is often more effective than waiting for disciplinary processes.</w:t>
      </w:r>
    </w:p>
    <w:p>
      <w:pPr>
        <w:pStyle w:val="Heading2"/>
        <w:spacing w:after="120" w:before="240"/>
      </w:pPr>
      <w:r>
        <w:rPr>
          <w:b/>
          <w:bCs/>
        </w:rPr>
        <w:t>Law Students and Bar Admission</w:t>
      </w:r>
    </w:p>
    <w:p>
      <w:pPr>
        <w:pStyle w:val="ListParagraph"/>
        <w:numPr>
          <w:ilvl w:val="0"/>
          <w:numId w:val="1"/>
        </w:numPr>
        <w:spacing w:after="80"/>
      </w:pPr>
      <w:r>
        <w:t>Law school stress, competition, and alcohol-centered socializing contribute to early-onset problems; recommended practices include dedicated counselors familiar with law school and bar admission, student wellness committees, anonymous surveys, and programming beyond orientation.</w:t>
      </w:r>
    </w:p>
    <w:p>
      <w:pPr>
        <w:pStyle w:val="ListParagraph"/>
        <w:numPr>
          <w:ilvl w:val="0"/>
          <w:numId w:val="1"/>
        </w:numPr>
        <w:spacing w:after="80"/>
      </w:pPr>
      <w:r>
        <w:t>Character and fitness: in April 2026 the National Conference of Bar Examiners revised its standard Character Report Application to remove the open-ended question about mental health conditions or impairments, retaining conduct-based questions about alcohol- or drug-related misconduct within the past three years and reliance on a condition as a defense within five years. Each jurisdiction decides whether to adopt the revised questions. New York removed its mental health question in 2020. Candor remains essential; applicants are evaluated on conduct, not on having sought treatment.</w:t>
      </w:r>
    </w:p>
    <w:p>
      <w:pPr>
        <w:pStyle w:val="Heading2"/>
        <w:spacing w:after="120" w:before="240"/>
      </w:pPr>
      <w:r>
        <w:rPr>
          <w:b/>
          <w:bCs/>
        </w:rPr>
        <w:t>Employer and Bar Initiatives</w:t>
      </w:r>
    </w:p>
    <w:p>
      <w:pPr>
        <w:pStyle w:val="ListParagraph"/>
        <w:numPr>
          <w:ilvl w:val="0"/>
          <w:numId w:val="1"/>
        </w:numPr>
        <w:spacing w:after="80"/>
      </w:pPr>
      <w:r>
        <w:t>ABA Well-Being Pledge: approximately 257 legal employers have committed to the seven-point framework for well-being programs.</w:t>
      </w:r>
    </w:p>
    <w:p>
      <w:pPr>
        <w:pStyle w:val="ListParagraph"/>
        <w:numPr>
          <w:ilvl w:val="0"/>
          <w:numId w:val="1"/>
        </w:numPr>
        <w:spacing w:after="80"/>
      </w:pPr>
      <w:r>
        <w:t>Continuing legal education: California requires two hours of competence credit per compliance period, including at least one hour on prevention and detection of substance use and impairment; New York accredits mental health and well-being programs under ethics and professionalism but has no standalone requirement.</w:t>
      </w:r>
    </w:p>
    <w:p>
      <w:pPr>
        <w:pStyle w:val="ListParagraph"/>
        <w:numPr>
          <w:ilvl w:val="0"/>
          <w:numId w:val="1"/>
        </w:numPr>
        <w:spacing w:after="80"/>
      </w:pPr>
      <w:r>
        <w:t>Firm programs: large firms have created full-time well-being roles and firmwide programs; recommended practices include wellness committees, designated recovery contacts, reconsideration of alcohol-centered events, and attention to the isolation of solo and small-firm practitioners.</w:t>
      </w:r>
    </w:p>
    <w:p>
      <w:pPr>
        <w:pStyle w:val="Heading2"/>
        <w:spacing w:after="120" w:before="240"/>
      </w:pPr>
      <w:r>
        <w:rPr>
          <w:b/>
          <w:bCs/>
        </w:rPr>
        <w:t>Developments to Know</w:t>
      </w:r>
    </w:p>
    <w:p>
      <w:pPr>
        <w:pStyle w:val="ListParagraph"/>
        <w:numPr>
          <w:ilvl w:val="0"/>
          <w:numId w:val="1"/>
        </w:numPr>
        <w:spacing w:after="80"/>
      </w:pPr>
      <w:r>
        <w:t>ABA Commission on Lawyer Assistance Programs, 2026 national study ("When Demands Equal Distress"), the first comprehensive update to the 2016 data.</w:t>
      </w:r>
    </w:p>
    <w:p>
      <w:pPr>
        <w:pStyle w:val="ListParagraph"/>
        <w:numPr>
          <w:ilvl w:val="0"/>
          <w:numId w:val="1"/>
        </w:numPr>
        <w:spacing w:after="80"/>
      </w:pPr>
      <w:r>
        <w:t>NCBE revised standard Character Report Application (April 20, 2026), eliminating the general mental health question.</w:t>
      </w:r>
    </w:p>
    <w:p>
      <w:pPr>
        <w:pStyle w:val="ListParagraph"/>
        <w:numPr>
          <w:ilvl w:val="0"/>
          <w:numId w:val="1"/>
        </w:numPr>
        <w:spacing w:after="80"/>
      </w:pPr>
      <w:r>
        <w:t>California MCLE competence requirement including prevention and detection of impairment, effective for compliance periods ending in 2025 and later.</w:t>
      </w:r>
    </w:p>
    <w:p>
      <w:pPr>
        <w:pStyle w:val="ListParagraph"/>
        <w:numPr>
          <w:ilvl w:val="0"/>
          <w:numId w:val="1"/>
        </w:numPr>
        <w:spacing w:after="80"/>
      </w:pPr>
      <w:r>
        <w:t>Brian Cuban's later work includes The Ambulance Chaser (2021) and The Body Brokers (2024); he continues to speak on lawyer well-being and has been in recovery since April 2007.</w:t>
      </w:r>
    </w:p>
    <w:p>
      <w:pPr>
        <w:pStyle w:val="ListParagraph"/>
        <w:numPr>
          <w:ilvl w:val="0"/>
          <w:numId w:val="1"/>
        </w:numPr>
        <w:spacing w:after="80"/>
      </w:pPr>
      <w:r>
        <w:t>Lawyer assistance program confidentiality rests on statute in some states (for example, New York Judiciary Law § 499) and on court or bar rules in others (for example, Washington Admission and Practice Rule 19 and North Carolina State Bar Rule .0613).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