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Transgender Battles - Access and Equality</w:t>
      </w:r>
    </w:p>
    <w:p>
      <w:pPr>
        <w:spacing w:after="200"/>
      </w:pPr>
      <w:r>
        <w:rPr>
          <w:rFonts w:ascii="Montserrat" w:cs="Montserrat" w:eastAsia="Montserrat" w:hAnsi="Montserrat"/>
          <w:b/>
          <w:bCs/>
          <w:color w:val="E87722"/>
          <w:sz w:val="24"/>
          <w:szCs w:val="24"/>
        </w:rPr>
        <w:t xml:space="preserve">Mara Keisling</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the first of two parts, examines the legal status of transgender people in the United States as of 2017 and the developments since. It addresses terminology and demographics, the treatment of gender-identity discrimination as sex discrimination under federal civil rights statutes, state legislation governing restroom access and municipal anti-discrimination ordinances, federal Title IX guidance concerning transgender students and its rescission, and the litigation in Grimm v. Gloucester County School Board. Part 2 addresses athletics, health care, and identity documents.</w:t>
      </w:r>
    </w:p>
    <w:p>
      <w:pPr>
        <w:pStyle w:val="Heading2"/>
        <w:spacing w:after="120" w:before="240"/>
      </w:pPr>
      <w:r>
        <w:rPr>
          <w:b/>
          <w:bCs/>
        </w:rPr>
        <w:t xml:space="preserve">Terminology and Demographics</w:t>
      </w:r>
    </w:p>
    <w:p>
      <w:pPr>
        <w:spacing w:after="160"/>
      </w:pPr>
      <w:r>
        <w:t xml:space="preserve">The guest defines "transgender" as describing a person whose gender identity or expression differs from the sex recorded at birth, and distinguishes social, medical, and legal transition. The 2015 U.S. Transgender Survey conducted by the National Center for Transgender Equality collected responses from 27,715 transgender adults; the Williams Institute at UCLA estimated in 2016 that approximately 1.4 million adults in the United States identify as transgender.</w:t>
      </w:r>
    </w:p>
    <w:p>
      <w:pPr>
        <w:pStyle w:val="Heading2"/>
        <w:spacing w:after="120" w:before="240"/>
      </w:pPr>
      <w:r>
        <w:rPr>
          <w:b/>
          <w:bCs/>
        </w:rPr>
        <w:t xml:space="preserve">Gender Identity as Sex Discrimination</w:t>
      </w:r>
    </w:p>
    <w:p>
      <w:pPr>
        <w:spacing w:after="160"/>
      </w:pPr>
      <w:r>
        <w:t xml:space="preserve">Beginning with Price Waterhouse v. Hopkins (1989), which recognized sex stereotyping as a form of sex discrimination under Title VII, federal courts and agencies increasingly held that discrimination against transgender individuals constitutes sex discrimination: Smith v. City of Salem (6th Cir. 2004), Glenn v. Brumby (11th Cir. 2011) (Equal Protection Clause), and the EEOC's decision in Macy v. Holder (2012). At the time of the program, the circuits were divided, and the Supreme Court had not addressed the question.</w:t>
      </w:r>
    </w:p>
    <w:p>
      <w:pPr>
        <w:pStyle w:val="Heading2"/>
        <w:spacing w:after="120" w:before="240"/>
      </w:pPr>
      <w:r>
        <w:rPr>
          <w:b/>
          <w:bCs/>
        </w:rPr>
        <w:t xml:space="preserve">State Restroom Legislation and Municipal Preemption</w:t>
      </w:r>
    </w:p>
    <w:p>
      <w:pPr>
        <w:spacing w:after="160"/>
      </w:pPr>
      <w:r>
        <w:t xml:space="preserve">North Carolina's House Bill 2 (2016) required that multiple-occupancy restrooms in public schools and government buildings be designated for and used according to the sex on a person's birth certificate, and preempted local ordinances on anti-discrimination protections and wage standards. Following litigation by the United States and private plaintiffs and reported economic losses from canceled events and investments, the legislature repealed the restroom provision in 2017 through House Bill 142, which retained a moratorium on local anti-discrimination ordinances through December 2020. California's Assembly Bill 1732 (2016) required single-occupancy restrooms in businesses, public accommodations, and government facilities to be designated all-gender, following similar ordinances in the District of Columbia and several cities.</w:t>
      </w:r>
    </w:p>
    <w:p>
      <w:pPr>
        <w:pStyle w:val="Heading2"/>
        <w:spacing w:after="120" w:before="240"/>
      </w:pPr>
      <w:r>
        <w:rPr>
          <w:b/>
          <w:bCs/>
        </w:rPr>
        <w:t xml:space="preserve">Title IX and Transgender Students</w:t>
      </w:r>
    </w:p>
    <w:p>
      <w:pPr>
        <w:spacing w:after="160"/>
      </w:pPr>
      <w:r>
        <w:t xml:space="preserve">Title IX of the Education Amendments of 1972 prohibits discrimination on the basis of sex in federally funded education programs. On May 13, 2016, the Departments of Education and Justice issued a "Dear Colleague" letter stating that Title IX's prohibition encompasses gender identity and that schools must treat students consistent with their gender identity, including in restroom and locker room access. On February 22, 2017, the Departments withdrew the guidance. In Gloucester County School Board v. G.G., the Fourth Circuit had ruled for the student in 2016 in reliance on the guidance; the Supreme Court granted certiorari, and following the withdrawal of the guidance vacated the judgment and remanded for consideration of the statutory question without deference (March 6, 2017).</w:t>
      </w:r>
    </w:p>
    <w:p>
      <w:pPr>
        <w:pStyle w:val="Heading2"/>
        <w:spacing w:after="120" w:before="240"/>
      </w:pPr>
      <w:r>
        <w:rPr>
          <w:b/>
          <w:bCs/>
        </w:rPr>
        <w:t xml:space="preserve">Public Accommodations and Employment</w:t>
      </w:r>
    </w:p>
    <w:p>
      <w:pPr>
        <w:spacing w:after="160"/>
      </w:pPr>
      <w:r>
        <w:t xml:space="preserve">At the time of the program, approximately nineteen states and the District of Columbia prohibited discrimination on the basis of gender identity in employment, housing, and public accommodations by statute, and additional states did so by executive order or agency interpretation. The Employment Non-Discrimination Act, which would have added federal protections, passed the Senate in 2013 and was not enacted.</w:t>
      </w:r>
    </w:p>
    <w:p>
      <w:pPr>
        <w:pStyle w:val="Heading2"/>
        <w:spacing w:after="120" w:before="240"/>
      </w:pPr>
      <w:r>
        <w:rPr>
          <w:b/>
          <w:bCs/>
        </w:rPr>
        <w:t xml:space="preserve">Developments to Know</w:t>
      </w:r>
    </w:p>
    <w:p>
      <w:pPr>
        <w:spacing w:after="160"/>
      </w:pPr>
      <w:r>
        <w:t xml:space="preserve">In Bostock v. Clayton County, 590 U.S. 644 (2020), the Supreme Court held six to three that an employer who fires an individual for being homosexual or transgender violates Title VII's prohibition on discrimination because of sex. In Grimm v. Gloucester County School Board, 972 F.3d 586 (4th Cir. 2020), the court held that the school board's restroom policy violated Title IX and the Equal Protection Clause; the Supreme Court denied certiorari in 2021. The Department of Education's 2024 Title IX regulations, which defined sex discrimination to include gender identity, were vacated in Tennessee v. Cardona (E.D. Ky. Jan. 9, 2025), and the Department rescinded them. Executive Order 14168 (January 20, 2025) directs federal agencies to define "sex" as biological and binary for purposes of federal law and policy and to rescind contrary guidance; related orders address federal funding of gender-affirming care for minors and participation in school athletics, and litigation challenging their implementation is pending in multiple courts. In United States v. Skrmetti, 605 U.S. ___ (2025), the Court held six to three that Tennessee's prohibition on puberty blockers and hormone therapy for minors with gender dysphoria classifies on the basis of age and medical use rather than sex and satisfies rational-basis review. In West Virginia v. B.P.J. and Little v. Hecox (June 30, 2026), the Court held that states may limit participation on girls' and women's school athletic teams to biological females consistent with Title IX and the Equal Protection Clause. As of 2026, roughly a dozen states restrict restroom use in public schools or government buildings by sex assigned at birth, twenty-six restrict transgender participation in girls' and women's school sports, and approximately half restrict gender-affirming medical care for minors, while approximately twenty-three states and the District of Columbia prohibit gender-identity discrimination in employment, housing, and public accommodations. The National Center for Transgender Equality merged with the Transgender Legal Defense and Education Fund in October 2024 to form Advocates for Trans Equality. The guest stepped down as executive director in 2021 and is a senior fellow at the Searchlight Institute.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2026-09-25T20:00:19.715Z</dcterms:created>
  <dcterms:modified xsi:type="dcterms:W3CDTF">2026-09-25T20:00:19.715Z</dcterms:modified>
</cp:coreProperties>
</file>

<file path=docProps/custom.xml><?xml version="1.0" encoding="utf-8"?>
<Properties xmlns="http://schemas.openxmlformats.org/officeDocument/2006/custom-properties" xmlns:vt="http://schemas.openxmlformats.org/officeDocument/2006/docPropsVTypes"/>
</file>