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Animal Cruelty and Domestic Abuse</w:t>
      </w:r>
    </w:p>
    <w:p>
      <w:pPr>
        <w:spacing w:after="200"/>
      </w:pPr>
      <w:r>
        <w:rPr>
          <w:rFonts w:ascii="Montserrat" w:cs="Montserrat" w:eastAsia="Montserrat" w:hAnsi="Montserrat"/>
          <w:b/>
          <w:bCs/>
          <w:color w:val="E87722"/>
          <w:sz w:val="24"/>
          <w:szCs w:val="24"/>
        </w:rPr>
        <w:t xml:space="preserve">Christine Mott</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relationship between animal cruelty and domestic violence and the legal tools available to protect victims and their companion animals. It addresses New York's animal cruelty statutes, the inclusion of companion animals in orders of protection, restitution, co-sheltering, the treatment of exposure to violence as child neglect, and cross-reporting between child-protective and animal-welfare authorities, together with the professional responsibility obligations of lawyers representing victims.</w:t>
      </w:r>
    </w:p>
    <w:p>
      <w:pPr>
        <w:pStyle w:val="Heading2"/>
        <w:spacing w:after="120" w:before="240"/>
      </w:pPr>
      <w:r>
        <w:rPr>
          <w:b/>
          <w:bCs/>
        </w:rPr>
        <w:t xml:space="preserve">Animal Cruelty Law in New York</w:t>
      </w:r>
    </w:p>
    <w:p>
      <w:pPr>
        <w:spacing w:after="160"/>
      </w:pPr>
      <w:r>
        <w:t xml:space="preserve">New York Agriculture and Markets Law § 353 makes it a class A misdemeanor to overdrive, torture, injure, or unjustifiably kill any animal or to deprive an animal of necessary sustenance; the provision descends from the 1867 statute drafted by Henry Bergh, founder of the American Society for the Prevention of Cruelty to Animals, and was the first general cruelty statute in the United States to reach an owner's treatment of his own animal. Section 353-a, enacted in 1999 as "Buster's Law," creates the felony of aggravated cruelty to animals, defined as conduct intended to cause extreme physical pain or carried out in an especially depraved or sadistic manner, applicable only to companion animals and punishable by up to two years' imprisonment. Section 350 defines "companion animal" as a dog, cat, or any other domesticated animal normally maintained in or near the household of its owner, excluding farm animals; courts have applied the felony provision to animals kept as pets regardless of species. Because § 353-a is an unclassified felony, sentences imposed under it are generally concurrent with sentences for other offenses.</w:t>
      </w:r>
    </w:p>
    <w:p>
      <w:pPr>
        <w:pStyle w:val="Heading2"/>
        <w:spacing w:after="120" w:before="240"/>
      </w:pPr>
      <w:r>
        <w:rPr>
          <w:b/>
          <w:bCs/>
        </w:rPr>
        <w:t xml:space="preserve">The Link Between Animal Cruelty and Interpersonal Violence</w:t>
      </w:r>
    </w:p>
    <w:p>
      <w:pPr>
        <w:spacing w:after="160"/>
      </w:pPr>
      <w:r>
        <w:t xml:space="preserve">Research summarized by the guest finds that abusers frequently harm or threaten pets to control partners and children, that a substantial proportion of domestic violence victims delay leaving abusive relationships out of concern for animals, and that histories of animal cruelty are common among perpetrators of serious violence. The legislative history of § 353-a cites the connection between cruelty to animals and violence against people. Beginning in 2016, the Federal Bureau of Investigation added animal cruelty as a distinct offense category in the National Incident-Based Reporting System.</w:t>
      </w:r>
    </w:p>
    <w:p>
      <w:pPr>
        <w:pStyle w:val="Heading2"/>
        <w:spacing w:after="120" w:before="240"/>
      </w:pPr>
      <w:r>
        <w:rPr>
          <w:b/>
          <w:bCs/>
        </w:rPr>
        <w:t xml:space="preserve">Orders of Protection Covering Companion Animals</w:t>
      </w:r>
    </w:p>
    <w:p>
      <w:pPr>
        <w:spacing w:after="160"/>
      </w:pPr>
      <w:r>
        <w:t xml:space="preserve">Family Court Act § 842(i) and Criminal Procedure Law § 530.12 and § 530.13 authorize orders of protection directing a respondent to refrain from injuring or threatening a companion animal owned, possessed, or kept by the petitioner, a family or household member, or a minor child residing in the household, without regard to whether the animal has previously been harmed. Family Court orders may be issued on a petition alleging a family offense on good cause shown and do not require a criminal arrest; criminal court orders accompany a criminal prosecution. The guest recommends describing protected animals inclusively rather than by name. Most states now have comparable provisions.</w:t>
      </w:r>
    </w:p>
    <w:p>
      <w:pPr>
        <w:pStyle w:val="Heading2"/>
        <w:spacing w:after="120" w:before="240"/>
      </w:pPr>
      <w:r>
        <w:rPr>
          <w:b/>
          <w:bCs/>
        </w:rPr>
        <w:t xml:space="preserve">Restitution</w:t>
      </w:r>
    </w:p>
    <w:p>
      <w:pPr>
        <w:spacing w:after="160"/>
      </w:pPr>
      <w:r>
        <w:t xml:space="preserve">Penal Law § 60.27 authorizes restitution for out-of-pocket losses caused by an offense, including veterinary expenses for an injured animal; Family Court Act § 841(e) permits restitution in family offense proceedings. Prosecutors are required to advise the court of the victim's restitution claim, and the court must order restitution unless it finds it inappropriate in the interest of justice. The guest identifies competence and communication under Rules 1.1 and 1.4 of the Rules of Professional Conduct as requiring lawyers representing victims to understand and explain these remedies.</w:t>
      </w:r>
    </w:p>
    <w:p>
      <w:pPr>
        <w:pStyle w:val="Heading2"/>
        <w:spacing w:after="120" w:before="240"/>
      </w:pPr>
      <w:r>
        <w:rPr>
          <w:b/>
          <w:bCs/>
        </w:rPr>
        <w:t xml:space="preserve">Co-Sheltering and Child Neglect</w:t>
      </w:r>
    </w:p>
    <w:p>
      <w:pPr>
        <w:spacing w:after="160"/>
      </w:pPr>
      <w:r>
        <w:t xml:space="preserve">The guest describes co-sheltering programs that house domestic violence victims with their pets, then operated in New York only by the Urban Resource Institute, and foster arrangements as alternatives. In Nicholson v. Scoppetta, 3 N.Y.3d 357 (2004), the Court of Appeals held that a child's exposure to domestic violence may support a finding of neglect under Family Court Act § 1012(f) where the child's physical, mental, or emotional condition is impaired or in imminent danger of impairment, though exposure alone does not establish neglect per se. The guest argues by analogy that compelling a child to witness cruelty to a family pet may constitute neglect.</w:t>
      </w:r>
    </w:p>
    <w:p>
      <w:pPr>
        <w:pStyle w:val="Heading2"/>
        <w:spacing w:after="120" w:before="240"/>
      </w:pPr>
      <w:r>
        <w:rPr>
          <w:b/>
          <w:bCs/>
        </w:rPr>
        <w:t xml:space="preserve">Cross-Reporting</w:t>
      </w:r>
    </w:p>
    <w:p>
      <w:pPr>
        <w:spacing w:after="160"/>
      </w:pPr>
      <w:r>
        <w:t xml:space="preserve">Illinois and a minority of other states require or permit child-protective workers, animal-control officers, and veterinarians to report suspected abuse of children or animals observed in the course of their duties to the appropriate agency. New York's mandated reporter provisions under Social Services Law § 413 do not extend to animal-welfare personnel, and New York does not require child-protective workers to report animal cruelty; legislation to establish cross-reporting has been introduced without enactment.</w:t>
      </w:r>
    </w:p>
    <w:p>
      <w:pPr>
        <w:pStyle w:val="Heading2"/>
        <w:spacing w:after="120" w:before="240"/>
      </w:pPr>
      <w:r>
        <w:rPr>
          <w:b/>
          <w:bCs/>
        </w:rPr>
        <w:t xml:space="preserve">Developments to Know</w:t>
      </w:r>
    </w:p>
    <w:p>
      <w:pPr>
        <w:spacing w:after="160"/>
      </w:pPr>
      <w:r>
        <w:t xml:space="preserve">The Pet and Women Safety (PAWS) Act, enacted in the Agriculture Improvement Act of 2018, amended 18 U.S.C. §§ 2261A and 2266 to include threats or harm to a victim's pet within federal interstate stalking and domestic violence offenses and the definition of protective orders entitled to full faith and credit, authorized restitution for veterinary costs, and established the Emergency and Transitional Pet Shelter and Housing Assistance Grant Program administered by the Department of Justice's Office on Violence Against Women. The Preventing Animal Cruelty and Torture (PACT) Act, enacted November 25, 2019 (18 U.S.C. § 48), makes intentional crushing, burning, drowning, suffocating, impaling, or sexual exploitation of animals a federal felony where the conduct affects interstate commerce. New York amended Domestic Relations Law § 236(B)(5)(d)(15), effective October 2021, to require courts to consider the best interest of a companion animal when awarding possession in a divorce. Every state has enacted felony-level animal cruelty provisions, and the National Sheriffs' Association's National Law Enforcement Center on Animal Abuse and the National District Attorneys Association's Animal Cruelty Prosecution program provide training on the link between animal cruelty and interpersonal violence. Approximately a dozen states have cross-reporting statutes; New York has not enacted one.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2026-09-25T19:25:46.902Z</dcterms:created>
  <dcterms:modified xsi:type="dcterms:W3CDTF">2026-09-25T19:25:46.902Z</dcterms:modified>
</cp:coreProperties>
</file>

<file path=docProps/custom.xml><?xml version="1.0" encoding="utf-8"?>
<Properties xmlns="http://schemas.openxmlformats.org/officeDocument/2006/custom-properties" xmlns:vt="http://schemas.openxmlformats.org/officeDocument/2006/docPropsVTypes"/>
</file>