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A Different Path to the Bench</w:t>
      </w:r>
    </w:p>
    <w:p>
      <w:pPr>
        <w:spacing w:after="200"/>
      </w:pPr>
      <w:r>
        <w:rPr>
          <w:rFonts w:ascii="Montserrat" w:cs="Montserrat" w:eastAsia="Montserrat" w:hAnsi="Montserrat"/>
          <w:b/>
          <w:bCs/>
          <w:color w:val="E87722"/>
          <w:sz w:val="24"/>
          <w:szCs w:val="24"/>
        </w:rPr>
        <w:t xml:space="preserve">Judge Raja Rajeswari</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presents the personal and professional path of the first South Asian woman appointed to the bench in New York and uses it to examine the structure of judicial selection in New York City, the rationale and data concerning judicial diversity, the ethical obligations of prosecutors, the prosecution of sex crimes and domestic violence in immigrant communities, and the standards of judicial conduct and temperament.</w:t>
      </w:r>
    </w:p>
    <w:p>
      <w:pPr>
        <w:pStyle w:val="Heading2"/>
        <w:spacing w:after="120" w:before="240"/>
      </w:pPr>
      <w:r>
        <w:rPr>
          <w:b/>
          <w:bCs/>
        </w:rPr>
        <w:t xml:space="preserve">Judicial Selection in New York</w:t>
      </w:r>
    </w:p>
    <w:p>
      <w:pPr>
        <w:spacing w:after="160"/>
      </w:pPr>
      <w:r>
        <w:t xml:space="preserve">Judges of the New York City Criminal Court, Family Court, and interim Civil Court vacancies are appointed by the Mayor to ten-year terms (Criminal Court) on the recommendation of the Mayor's Advisory Committee on the Judiciary, established by executive order, which screens applicants and reports candidates found qualified. Justices of the Supreme Court are elected by judicial district from candidates nominated at party judicial conventions, and the Chief Administrative Judge may designate judges of other courts as Acting Supreme Court Justices under Judiciary Law § 212 and 22 NYCRR § 121 to address caseload needs. Judges of the Court of Appeals and Appellate Division are appointed by the Governor. The guest describes her application following sixteen years as an assistant district attorney and her appointment to the Criminal Court in April 2015.</w:t>
      </w:r>
    </w:p>
    <w:p>
      <w:pPr>
        <w:pStyle w:val="Heading2"/>
        <w:spacing w:after="120" w:before="240"/>
      </w:pPr>
      <w:r>
        <w:rPr>
          <w:b/>
          <w:bCs/>
        </w:rPr>
        <w:t xml:space="preserve">Judicial Diversity</w:t>
      </w:r>
    </w:p>
    <w:p>
      <w:pPr>
        <w:spacing w:after="160"/>
      </w:pPr>
      <w:r>
        <w:t xml:space="preserve">Studies by the American Bar Association, the Brennan Center for Justice, and the New York State Unified Court System's Franklin H. Williams Judicial Commission have documented that the state and federal judiciaries remain less diverse than the populations and bars they serve, particularly with respect to women of color and Asian American and South Asian judges. Proponents of judicial diversity cite public confidence in the courts, the value of varied experience in adjudication, and the role of judges as models for entrants to the profession; the guest describes litigants' surprise at seeing her on the bench and her sense of obligation to young people from immigrant backgrounds.</w:t>
      </w:r>
    </w:p>
    <w:p>
      <w:pPr>
        <w:pStyle w:val="Heading2"/>
        <w:spacing w:after="120" w:before="240"/>
      </w:pPr>
      <w:r>
        <w:rPr>
          <w:b/>
          <w:bCs/>
        </w:rPr>
        <w:t xml:space="preserve">Prosecutorial Ethics</w:t>
      </w:r>
    </w:p>
    <w:p>
      <w:pPr>
        <w:spacing w:after="160"/>
      </w:pPr>
      <w:r>
        <w:t xml:space="preserve">Rule 3.8 of the New York Rules of Professional Conduct provides that a prosecutor shall not institute or maintain a charge not supported by probable cause and must timely disclose evidence tending to negate guilt or mitigate the offense; Brady v. Maryland (1963) and its progeny impose a constitutional disclosure obligation, and Rule 3.8(c) and (d), adopted in 2017, require prosecutors who learn of new, credible, and material evidence of a wrongful conviction to disclose it and, in their own jurisdiction, to investigate. The guest describes the instruction from District Attorney William L. Murphy that the prosecutor's role is to do justice rather than to win, and identifies wrongful conviction as the system's gravest failure.</w:t>
      </w:r>
    </w:p>
    <w:p>
      <w:pPr>
        <w:pStyle w:val="Heading2"/>
        <w:spacing w:after="120" w:before="240"/>
      </w:pPr>
      <w:r>
        <w:rPr>
          <w:b/>
          <w:bCs/>
        </w:rPr>
        <w:t xml:space="preserve">Sex Crimes and Domestic Violence Prosecution</w:t>
      </w:r>
    </w:p>
    <w:p>
      <w:pPr>
        <w:spacing w:after="160"/>
      </w:pPr>
      <w:r>
        <w:t xml:space="preserve">Prosecutions of child sexual abuse and domestic violence present distinctive evidentiary and victim-related challenges, including reluctant or recanting complainants, cultural stigma in some immigrant communities, and the need for language access and victim services. New York's Family Court Act and Criminal Procedure Law provide for orders of protection, and the Office for the Prevention of Domestic Violence and district attorneys' victim services units coordinate counseling, housing, and language assistance. The guest describes a multi-count child sexual abuse prosecution involving videotaped offenses and the role of a prosecutor who shares victims' language and background in securing cooperation and connecting victims to services.</w:t>
      </w:r>
    </w:p>
    <w:p>
      <w:pPr>
        <w:pStyle w:val="Heading2"/>
        <w:spacing w:after="120" w:before="240"/>
      </w:pPr>
      <w:r>
        <w:rPr>
          <w:b/>
          <w:bCs/>
        </w:rPr>
        <w:t xml:space="preserve">Immigration Pathways Referenced</w:t>
      </w:r>
    </w:p>
    <w:p>
      <w:pPr>
        <w:spacing w:after="160"/>
      </w:pPr>
      <w:r>
        <w:t xml:space="preserve">The guest describes entering the United States on a visa for cultural performance and adjusting status through her mother's employment-based nonimmigrant visa. H-1B nonimmigrant status under 8 U.S.C. § 1101(a)(15)(H) permits employment in specialty occupations; artists and entertainers may enter under O-1 or P-3 visas for culturally unique programs. Family members may derive status from a principal beneficiary.</w:t>
      </w:r>
    </w:p>
    <w:p>
      <w:pPr>
        <w:pStyle w:val="Heading2"/>
        <w:spacing w:after="120" w:before="240"/>
      </w:pPr>
      <w:r>
        <w:rPr>
          <w:b/>
          <w:bCs/>
        </w:rPr>
        <w:t xml:space="preserve">Judicial Conduct and Temperament</w:t>
      </w:r>
    </w:p>
    <w:p>
      <w:pPr>
        <w:spacing w:after="160"/>
      </w:pPr>
      <w:r>
        <w:t xml:space="preserve">The Rules Governing Judicial Conduct (22 NYCRR Part 100) require judges to be patient, dignified, and courteous, to maintain order and decorum, and to perform duties without bias or prejudice. The guest describes judicial temperament as control of the courtroom without reliance on the gavel, the judge's role in safeguarding defendants' rights, and the security threats that accompany public office.</w:t>
      </w:r>
    </w:p>
    <w:p>
      <w:pPr>
        <w:pStyle w:val="Heading2"/>
        <w:spacing w:after="120" w:before="240"/>
      </w:pPr>
      <w:r>
        <w:rPr>
          <w:b/>
          <w:bCs/>
        </w:rPr>
        <w:t xml:space="preserve">Developments to Know</w:t>
      </w:r>
    </w:p>
    <w:p>
      <w:pPr>
        <w:spacing w:after="160"/>
      </w:pPr>
      <w:r>
        <w:t xml:space="preserve">The guest has been designated an Acting Justice of the Supreme Court, Richmond County, presiding over felony matters, and her Criminal Court term was renewed through 2028. In 2020, the Chief Judge commissioned an independent review of equal justice in the New York courts led by former Secretary of Homeland Security Jeh Johnson, whose report identified a "second-class system of justice" for people of color in high-volume courts and led to an Equal Justice Office, mandatory bias training, and reforms to court operations and judicial hiring. The Franklin H. Williams Judicial Commission continues to report on the demographics of the New York bench, and the South Asian Bar Association of New York, founded in 1996, has grown into one of the city's largest affinity bar associations, with an increasing number of South Asian judges serving on New York City, state, and federal courts. Rule 3.8 was amended in 2017 to add post-conviction disclosure and remediation duties for prosecutors. The New York State Unified Court System's Office of Language Access reported serving more than 400,000 limited-English-proficient court users in 2025.</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2026-09-25T19:15:54.077Z</dcterms:created>
  <dcterms:modified xsi:type="dcterms:W3CDTF">2026-09-25T19:15:54.077Z</dcterms:modified>
</cp:coreProperties>
</file>

<file path=docProps/custom.xml><?xml version="1.0" encoding="utf-8"?>
<Properties xmlns="http://schemas.openxmlformats.org/officeDocument/2006/custom-properties" xmlns:vt="http://schemas.openxmlformats.org/officeDocument/2006/docPropsVTypes"/>
</file>