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80"/>
      </w:pPr>
      <w:r>
        <w:rPr>
          <w:rFonts w:ascii="Montserrat" w:cs="Montserrat" w:eastAsia="Montserrat" w:hAnsi="Montserrat"/>
          <w:b/>
          <w:bCs/>
          <w:sz w:val="36"/>
          <w:szCs w:val="36"/>
        </w:rPr>
        <w:t>Artificial Justice: Navigating an AI Evidence Crisis</w:t>
      </w:r>
    </w:p>
    <w:p>
      <w:pPr>
        <w:spacing w:after="200"/>
      </w:pPr>
      <w:r>
        <w:rPr>
          <w:rFonts w:ascii="Montserrat" w:cs="Montserrat" w:eastAsia="Montserrat" w:hAnsi="Montserrat"/>
          <w:b/>
          <w:bCs/>
          <w:color w:val="E87722"/>
          <w:sz w:val="24"/>
          <w:szCs w:val="24"/>
        </w:rPr>
        <w:t>Hon. Paul W. Grimm (ret.), former United States District Judge, District of Maryland; former Director, Bolch Judicial Institute, Duke Law School</w:t>
      </w:r>
    </w:p>
    <w:p>
      <w:pPr>
        <w:pStyle w:val="Heading2"/>
        <w:spacing w:after="120" w:before="240"/>
      </w:pPr>
      <w:r>
        <w:rPr>
          <w:b/>
          <w:bCs/>
        </w:rPr>
        <w:t>Overview</w:t>
      </w:r>
    </w:p>
    <w:p>
      <w:pPr>
        <w:spacing w:after="160"/>
      </w:pPr>
      <w:r>
        <w:t>This program examines the challenges that generative artificial intelligence poses for the law of evidence. Judge Paul Grimm explains how AI-generated and AI-altered audio, video, images, and documents interact with the authentication requirements of Federal Rules of Evidence 901 and 902, the allocation of fact-finding under Rule 104, exclusion under Rule 403, and the hearsay rules; why the existing framework, which sends disputed authenticity questions to the jury on a minimal showing, is poorly suited to deepfakes and the "liar's dividend"; how courts already rely on algorithmic tools such as risk-assessment software; the reliability questions raised by machine-generated evidence; and the rule amendments he and Professor Maura Grossman have proposed. The program updates the discussion with the status of proposed Federal Rule of Evidence 707 and the proposed Rule 901(c), state legislation and court rules, recent decisions excluding or sanctioning AI-fabricated evidence, and the growth of litigation involving AI-hallucinated authorities.</w:t>
      </w:r>
    </w:p>
    <w:p>
      <w:pPr>
        <w:pStyle w:val="Heading2"/>
        <w:spacing w:after="120" w:before="240"/>
      </w:pPr>
      <w:r>
        <w:rPr>
          <w:b/>
          <w:bCs/>
        </w:rPr>
        <w:t>Learning Objectives</w:t>
      </w:r>
    </w:p>
    <w:p>
      <w:pPr>
        <w:pStyle w:val="ListParagraph"/>
        <w:numPr>
          <w:ilvl w:val="0"/>
          <w:numId w:val="1"/>
        </w:numPr>
        <w:spacing w:after="80"/>
      </w:pPr>
      <w:r>
        <w:t>Explain how Rules 901, 902, 104(b), and 403 govern the admissibility of audio, video, and documentary evidence and identify the gaps those rules leave for AI-generated or altered material.</w:t>
      </w:r>
    </w:p>
    <w:p>
      <w:pPr>
        <w:pStyle w:val="ListParagraph"/>
        <w:numPr>
          <w:ilvl w:val="0"/>
          <w:numId w:val="1"/>
        </w:numPr>
        <w:spacing w:after="80"/>
      </w:pPr>
      <w:r>
        <w:t>Describe the "liar's dividend" and the practical burdens it places on proponents and opponents of authentic evidence.</w:t>
      </w:r>
    </w:p>
    <w:p>
      <w:pPr>
        <w:pStyle w:val="ListParagraph"/>
        <w:numPr>
          <w:ilvl w:val="0"/>
          <w:numId w:val="1"/>
        </w:numPr>
        <w:spacing w:after="80"/>
      </w:pPr>
      <w:r>
        <w:t>Distinguish AI-generated evidence from machine-generated evidence offered for its own output, and explain why the hearsay rules do not apply to either.</w:t>
      </w:r>
    </w:p>
    <w:p>
      <w:pPr>
        <w:pStyle w:val="ListParagraph"/>
        <w:numPr>
          <w:ilvl w:val="0"/>
          <w:numId w:val="1"/>
        </w:numPr>
        <w:spacing w:after="80"/>
      </w:pPr>
      <w:r>
        <w:t>Summarize the proposed amendments to the Federal Rules of Evidence addressing machine-generated and potentially fabricated evidence and their current status.</w:t>
      </w:r>
    </w:p>
    <w:p>
      <w:pPr>
        <w:pStyle w:val="ListParagraph"/>
        <w:numPr>
          <w:ilvl w:val="0"/>
          <w:numId w:val="1"/>
        </w:numPr>
        <w:spacing w:after="80"/>
      </w:pPr>
      <w:r>
        <w:t>Apply practical strategies for disclosure, authentication, expert support, and challenge of AI evidence in current practice, and identify the professional responsibility obligations of lawyers using AI tools.</w:t>
      </w:r>
    </w:p>
    <w:p>
      <w:pPr>
        <w:pStyle w:val="Heading2"/>
        <w:spacing w:after="120" w:before="240"/>
      </w:pPr>
      <w:r>
        <w:rPr>
          <w:b/>
          <w:bCs/>
        </w:rPr>
        <w:t>The Technology and the Problem</w:t>
      </w:r>
    </w:p>
    <w:p>
      <w:pPr>
        <w:pStyle w:val="ListParagraph"/>
        <w:numPr>
          <w:ilvl w:val="0"/>
          <w:numId w:val="1"/>
        </w:numPr>
        <w:spacing w:after="80"/>
      </w:pPr>
      <w:r>
        <w:t>Generative AI can produce realistic synthetic audio, video, images, and documents at negligible cost ("democratized fraud"); detection tools lag generation tools and produce error rates that themselves require expert explanation.</w:t>
      </w:r>
    </w:p>
    <w:p>
      <w:pPr>
        <w:pStyle w:val="ListParagraph"/>
        <w:numPr>
          <w:ilvl w:val="0"/>
          <w:numId w:val="1"/>
        </w:numPr>
        <w:spacing w:after="80"/>
      </w:pPr>
      <w:r>
        <w:t>The liar's dividend (Chesney &amp; Citron, 2019): widespread awareness of deepfakes allows a party to disclaim authentic evidence, shifting the burden to the proponent to prove a negative.</w:t>
      </w:r>
    </w:p>
    <w:p>
      <w:pPr>
        <w:pStyle w:val="ListParagraph"/>
        <w:numPr>
          <w:ilvl w:val="0"/>
          <w:numId w:val="1"/>
        </w:numPr>
        <w:spacing w:after="80"/>
      </w:pPr>
      <w:r>
        <w:t>Relevance frequently depends on authenticity (e.g., a threat is relevant only if the defendant's voice is genuine), making authentication a conditional-relevance question under Rule 104(b).</w:t>
      </w:r>
    </w:p>
    <w:p>
      <w:pPr>
        <w:pStyle w:val="Heading2"/>
        <w:spacing w:after="120" w:before="240"/>
      </w:pPr>
      <w:r>
        <w:rPr>
          <w:b/>
          <w:bCs/>
        </w:rPr>
        <w:t>The Existing Federal Rules</w:t>
      </w:r>
    </w:p>
    <w:p>
      <w:pPr>
        <w:pStyle w:val="ListParagraph"/>
        <w:numPr>
          <w:ilvl w:val="0"/>
          <w:numId w:val="1"/>
        </w:numPr>
        <w:spacing w:after="80"/>
      </w:pPr>
      <w:r>
        <w:t>Rule 901(a) requires evidence sufficient to support a finding that the item is what the proponent claims; under Rule 104(b) the judge screens only for sufficiency and the jury decides the ultimate question. Rule 901(b)(9) (process or system producing an accurate result) and Rule 902(13)–(14) (certified records of electronic processes and copies of electronic data) were adopted for deterministic systems and hash-value verification.</w:t>
      </w:r>
    </w:p>
    <w:p>
      <w:pPr>
        <w:pStyle w:val="ListParagraph"/>
        <w:numPr>
          <w:ilvl w:val="0"/>
          <w:numId w:val="1"/>
        </w:numPr>
        <w:spacing w:after="80"/>
      </w:pPr>
      <w:r>
        <w:t>Rule 403 permits exclusion where probative value is substantially outweighed by unfair prejudice or misleading the jury, but the standard is discretionary and the jury may be unable to disregard a vivid synthetic video once seen.</w:t>
      </w:r>
    </w:p>
    <w:p>
      <w:pPr>
        <w:pStyle w:val="ListParagraph"/>
        <w:numPr>
          <w:ilvl w:val="0"/>
          <w:numId w:val="1"/>
        </w:numPr>
        <w:spacing w:after="80"/>
      </w:pPr>
      <w:r>
        <w:t>Hearsay (Rules 801–807) applies only to statements by a person; output of a machine is not hearsay, though statements of persons embedded in machine output remain subject to the rule.</w:t>
      </w:r>
    </w:p>
    <w:p>
      <w:pPr>
        <w:pStyle w:val="ListParagraph"/>
        <w:numPr>
          <w:ilvl w:val="0"/>
          <w:numId w:val="1"/>
        </w:numPr>
        <w:spacing w:after="80"/>
      </w:pPr>
      <w:r>
        <w:t>Rule 702 and Daubert govern expert testimony on detection and on the reliability of AI tools; the Advisory Committee's 2023 amendment to Rule 702 clarified the proponent's burden by a preponderance.</w:t>
      </w:r>
    </w:p>
    <w:p>
      <w:pPr>
        <w:pStyle w:val="Heading2"/>
        <w:spacing w:after="120" w:before="240"/>
      </w:pPr>
      <w:r>
        <w:rPr>
          <w:b/>
          <w:bCs/>
        </w:rPr>
        <w:t>AI Already in the Courtroom</w:t>
      </w:r>
    </w:p>
    <w:p>
      <w:pPr>
        <w:pStyle w:val="ListParagraph"/>
        <w:numPr>
          <w:ilvl w:val="0"/>
          <w:numId w:val="1"/>
        </w:numPr>
        <w:spacing w:after="80"/>
      </w:pPr>
      <w:r>
        <w:t>Risk-assessment tools such as COMPAS are used in bail and sentencing; State v. Loomis, 881 N.W.2d 749 (Wis. 2016), permitted consideration of a proprietary score subject to cautions, despite the defendant's inability to examine the algorithm.</w:t>
      </w:r>
    </w:p>
    <w:p>
      <w:pPr>
        <w:pStyle w:val="ListParagraph"/>
        <w:numPr>
          <w:ilvl w:val="0"/>
          <w:numId w:val="1"/>
        </w:numPr>
        <w:spacing w:after="80"/>
      </w:pPr>
      <w:r>
        <w:t>State v. Puloka (Wash. Super. Ct. 2024) excluded AI-enhanced video under Frye, finding the enhancement technique not generally accepted and the output unreliable.</w:t>
      </w:r>
    </w:p>
    <w:p>
      <w:pPr>
        <w:pStyle w:val="ListParagraph"/>
        <w:numPr>
          <w:ilvl w:val="0"/>
          <w:numId w:val="1"/>
        </w:numPr>
        <w:spacing w:after="80"/>
      </w:pPr>
      <w:r>
        <w:t>Access to justice: generative tools can draft pleadings and discovery, and initiatives such as Duke's Responsible AI in Legal Services (RAILS) project develop guardrails; reliability depends on documented error rates rather than vendor claims.</w:t>
      </w:r>
    </w:p>
    <w:p>
      <w:pPr>
        <w:pStyle w:val="Heading2"/>
        <w:spacing w:after="120" w:before="240"/>
      </w:pPr>
      <w:r>
        <w:rPr>
          <w:b/>
          <w:bCs/>
        </w:rPr>
        <w:t>Proposed Rule Amendments</w:t>
      </w:r>
    </w:p>
    <w:p>
      <w:pPr>
        <w:pStyle w:val="ListParagraph"/>
        <w:numPr>
          <w:ilvl w:val="0"/>
          <w:numId w:val="1"/>
        </w:numPr>
        <w:spacing w:after="80"/>
      </w:pPr>
      <w:r>
        <w:t>Proposed Rule 707 (machine-generated evidence): where machine-generated output is offered without an expert, the proponent must satisfy requirements analogous to Rule 702(a)–(d); published for comment August 2025; comment period closed February 2026; returned for revision by the Advisory Committee (May 7, 2026) and Standing Committee (June 2026); earliest effective date December 1, 2028.</w:t>
      </w:r>
    </w:p>
    <w:p>
      <w:pPr>
        <w:pStyle w:val="ListParagraph"/>
        <w:numPr>
          <w:ilvl w:val="0"/>
          <w:numId w:val="1"/>
        </w:numPr>
        <w:spacing w:after="80"/>
      </w:pPr>
      <w:r>
        <w:t>Proposed Rule 901(c) (Grimm &amp; Grossman): where the opponent presents evidence sufficient to support a finding that an item has been fabricated or altered by AI, the proponent must show it is more likely than not authentic, with the court deciding admissibility under a balancing test; the proposal was tabled by the Advisory Committee in May 2026.</w:t>
      </w:r>
    </w:p>
    <w:p>
      <w:pPr>
        <w:pStyle w:val="ListParagraph"/>
        <w:numPr>
          <w:ilvl w:val="0"/>
          <w:numId w:val="1"/>
        </w:numPr>
        <w:spacing w:after="80"/>
      </w:pPr>
      <w:r>
        <w:t>Grimm, Grossman &amp; Cormack, "Artificial Intelligence as Evidence," 19 Nw. J. Tech. &amp; Intell. Prop. 9 (2021); Grimm &amp; Grossman, 26 Colum. Sci. &amp; Tech. L. Rev. (2025).</w:t>
      </w:r>
    </w:p>
    <w:p>
      <w:pPr>
        <w:pStyle w:val="ListParagraph"/>
        <w:numPr>
          <w:ilvl w:val="0"/>
          <w:numId w:val="1"/>
        </w:numPr>
        <w:spacing w:after="80"/>
      </w:pPr>
      <w:r>
        <w:t>Federal Judicial Center survey (2025): 55 percent of responding judges favored a rules amendment addressing AI evidence.</w:t>
      </w:r>
    </w:p>
    <w:p>
      <w:pPr>
        <w:pStyle w:val="Heading2"/>
        <w:spacing w:after="120" w:before="240"/>
      </w:pPr>
      <w:r>
        <w:rPr>
          <w:b/>
          <w:bCs/>
        </w:rPr>
        <w:t>State Developments and Practice Guidance</w:t>
      </w:r>
    </w:p>
    <w:p>
      <w:pPr>
        <w:pStyle w:val="ListParagraph"/>
        <w:numPr>
          <w:ilvl w:val="0"/>
          <w:numId w:val="1"/>
        </w:numPr>
        <w:spacing w:after="80"/>
      </w:pPr>
      <w:r>
        <w:t>Maryland Rule 5-104 and related rules require pretrial disclosure of computer-generated evidence; Louisiana Act 250 (effective August 2025) requires notice of intent to offer AI-generated evidence; Illinois adopted a Supreme Court AI policy (2025); several states have enacted statutes on deepfakes in elections and intimate imagery.</w:t>
      </w:r>
    </w:p>
    <w:p>
      <w:pPr>
        <w:pStyle w:val="ListParagraph"/>
        <w:numPr>
          <w:ilvl w:val="0"/>
          <w:numId w:val="1"/>
        </w:numPr>
        <w:spacing w:after="80"/>
      </w:pPr>
      <w:r>
        <w:t>Mendones v. Cushman &amp; Wakefield (Cal. Super. Ct. Sept. 2025): dismissal with prejudice and sanctions after the court found plaintiffs' video evidence AI-fabricated.</w:t>
      </w:r>
    </w:p>
    <w:p>
      <w:pPr>
        <w:pStyle w:val="ListParagraph"/>
        <w:numPr>
          <w:ilvl w:val="0"/>
          <w:numId w:val="1"/>
        </w:numPr>
        <w:spacing w:after="80"/>
      </w:pPr>
      <w:r>
        <w:t>Hallucinated citations: a running database counted more than 1,600 decisions worldwide addressing fabricated AI-generated authorities by June 2026, including 524 U.S. decisions in 2025; sanctions have included fines, referrals, and dismissals. Standing orders in many federal courts require disclosure or certification of AI use.</w:t>
      </w:r>
    </w:p>
    <w:p>
      <w:pPr>
        <w:pStyle w:val="ListParagraph"/>
        <w:numPr>
          <w:ilvl w:val="0"/>
          <w:numId w:val="1"/>
        </w:numPr>
        <w:spacing w:after="80"/>
      </w:pPr>
      <w:r>
        <w:t>Practice: request early disclosure of digital evidence and native files with metadata; preserve chain of custody and hash values; retain forensic experts; raise authenticity under Rules 104 and 403 by motion in limine; comply with ABA Formal Opinion 512 (2024) on competence, confidentiality, and candor in using generative AI.</w:t>
      </w:r>
    </w:p>
    <w:p>
      <w:pPr>
        <w:pStyle w:val="Heading2"/>
        <w:spacing w:after="120" w:before="240"/>
      </w:pPr>
      <w:r>
        <w:rPr>
          <w:b/>
          <w:bCs/>
        </w:rPr>
        <w:t>Developments to Know</w:t>
      </w:r>
    </w:p>
    <w:p>
      <w:pPr>
        <w:pStyle w:val="ListParagraph"/>
        <w:numPr>
          <w:ilvl w:val="0"/>
          <w:numId w:val="1"/>
        </w:numPr>
        <w:spacing w:after="80"/>
      </w:pPr>
      <w:r>
        <w:t>Proposed Federal Rule of Evidence 707 returned for revision (May–June 2026); earliest effective date December 2028.</w:t>
      </w:r>
    </w:p>
    <w:p>
      <w:pPr>
        <w:pStyle w:val="ListParagraph"/>
        <w:numPr>
          <w:ilvl w:val="0"/>
          <w:numId w:val="1"/>
        </w:numPr>
        <w:spacing w:after="80"/>
      </w:pPr>
      <w:r>
        <w:t>Proposed Rule 901(c) on potentially fabricated evidence tabled (May 2026).</w:t>
      </w:r>
    </w:p>
    <w:p>
      <w:pPr>
        <w:pStyle w:val="ListParagraph"/>
        <w:numPr>
          <w:ilvl w:val="0"/>
          <w:numId w:val="1"/>
        </w:numPr>
        <w:spacing w:after="80"/>
      </w:pPr>
      <w:r>
        <w:t>Louisiana Act 250 (2025) and Illinois judicial AI policy; Mendones v. Cushman &amp; Wakefield (Sept. 2025).</w:t>
      </w:r>
    </w:p>
    <w:p>
      <w:pPr>
        <w:pStyle w:val="ListParagraph"/>
        <w:numPr>
          <w:ilvl w:val="0"/>
          <w:numId w:val="1"/>
        </w:numPr>
        <w:spacing w:after="80"/>
      </w:pPr>
      <w:r>
        <w:t>Federal Judicial Center judge survey on AI evidence (2025).</w:t>
      </w:r>
    </w:p>
    <w:p>
      <w:pPr>
        <w:pStyle w:val="ListParagraph"/>
        <w:numPr>
          <w:ilvl w:val="0"/>
          <w:numId w:val="1"/>
        </w:numPr>
        <w:spacing w:after="80"/>
      </w:pPr>
      <w:r>
        <w:t>Judge Grimm concluded his service as Director of the Bolch Judicial Institute on December 31, 2025; Judge Kimberly Mueller succeeded him.</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Open Sans" w:cs="Open Sans" w:eastAsia="Open Sans" w:hAnsi="Open Sans"/>
        <w:color w:val="999999"/>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Montserrat" w:cs="Montserrat" w:eastAsia="Montserrat" w:hAnsi="Montserrat"/>
        <w:color w:val="999999"/>
        <w:sz w:val="16"/>
        <w:szCs w:val="16"/>
      </w:rPr>
      <w:t xml:space="preserve">TalksOnLaw — Written Materials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Open Sans" w:cs="Open Sans" w:eastAsia="Open Sans" w:hAnsi="Open Sans"/>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240"/>
    </w:pPr>
    <w:rPr>
      <w:rFonts w:ascii="Montserrat" w:cs="Montserrat" w:eastAsia="Montserrat" w:hAnsi="Montserrat"/>
      <w:b/>
      <w:bCs/>
      <w:sz w:val="36"/>
      <w:szCs w:val="36"/>
    </w:rPr>
  </w:style>
  <w:style w:type="paragraph" w:styleId="Heading2">
    <w:name w:val="Heading 2"/>
    <w:basedOn w:val="Normal"/>
    <w:next w:val="Normal"/>
    <w:qFormat/>
    <w:pPr>
      <w:spacing w:after="120" w:before="200"/>
    </w:pPr>
    <w:rPr>
      <w:rFonts w:ascii="Montserrat" w:cs="Montserrat" w:eastAsia="Montserrat" w:hAnsi="Montserrat"/>
      <w:b/>
      <w:bCs/>
      <w:sz w:val="30"/>
      <w:szCs w:val="30"/>
    </w:rPr>
  </w:style>
  <w:style w:type="paragraph" w:styleId="Heading3">
    <w:name w:val="Heading 3"/>
    <w:basedOn w:val="Normal"/>
    <w:next w:val="Normal"/>
    <w:qFormat/>
    <w:pPr>
      <w:spacing w:after="100" w:before="160"/>
    </w:pPr>
    <w:rPr>
      <w:rFonts w:ascii="Montserrat" w:cs="Montserrat" w:eastAsia="Montserrat" w:hAnsi="Montserrat"/>
      <w:b/>
      <w:bCs/>
      <w:sz w:val="26"/>
      <w:szCs w:val="2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2026-09-28T18:13:13.289Z</dcterms:created>
  <dcterms:modified xsi:type="dcterms:W3CDTF">2026-09-28T18:13:13.289Z</dcterms:modified>
</cp:coreProperties>
</file>

<file path=docProps/custom.xml><?xml version="1.0" encoding="utf-8"?>
<Properties xmlns="http://schemas.openxmlformats.org/officeDocument/2006/custom-properties" xmlns:vt="http://schemas.openxmlformats.org/officeDocument/2006/docPropsVTypes"/>
</file>