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Substance Abuse and Recovery - A Lawyer's Story</w:t>
      </w:r>
    </w:p>
    <w:p>
      <w:pPr>
        <w:spacing w:after="200"/>
      </w:pPr>
      <w:r>
        <w:rPr>
          <w:rFonts w:ascii="Montserrat" w:cs="Montserrat" w:eastAsia="Montserrat" w:hAnsi="Montserrat"/>
          <w:b/>
          <w:bCs/>
          <w:color w:val="E87722"/>
          <w:sz w:val="24"/>
          <w:szCs w:val="24"/>
        </w:rPr>
        <w:t xml:space="preserve">Gary Reing</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presents a first-person account of addiction, professional misconduct, criminal conviction, disbarment, recovery, and reinstatement, and uses it to examine the legal framework governing each stage: the rules on client funds, automatic disbarment upon felony conviction, the Lawyers' Fund for Client Protection, the restrictions on disbarred lawyers, the reinstatement process, and the confidentiality and services of lawyer assistance programs in New York.</w:t>
      </w:r>
    </w:p>
    <w:p>
      <w:pPr>
        <w:pStyle w:val="Heading2"/>
        <w:spacing w:after="120" w:before="240"/>
      </w:pPr>
      <w:r>
        <w:rPr>
          <w:b/>
          <w:bCs/>
        </w:rPr>
        <w:t xml:space="preserve">Client Funds and Conversion</w:t>
      </w:r>
    </w:p>
    <w:p>
      <w:pPr>
        <w:spacing w:after="160"/>
      </w:pPr>
      <w:r>
        <w:t xml:space="preserve">Rule 1.15 of the New York Rules of Professional Conduct requires that funds belonging to clients or third parties be held in a special account separate from the lawyer's own funds and prohibits misappropriation and commingling. Intentional conversion of client funds is treated as among the most serious forms of professional misconduct and ordinarily results in disbarment regardless of intent to repay. Conversion of client funds may also constitute grand larceny under New York Penal Law Article 155 and, where documents are falsified, forgery under Article 170. The guest describes the characteristic belief of the addicted lawyer that misappropriated funds are being borrowed, and the disciplinary complaints and orders that he ignored while impaired.</w:t>
      </w:r>
    </w:p>
    <w:p>
      <w:pPr>
        <w:pStyle w:val="Heading2"/>
        <w:spacing w:after="120" w:before="240"/>
      </w:pPr>
      <w:r>
        <w:rPr>
          <w:b/>
          <w:bCs/>
        </w:rPr>
        <w:t xml:space="preserve">Felony Conviction and Automatic Disbarment</w:t>
      </w:r>
    </w:p>
    <w:p>
      <w:pPr>
        <w:spacing w:after="160"/>
      </w:pPr>
      <w:r>
        <w:t xml:space="preserve">Under Judiciary Law § 90(4)(a) and (b), an attorney convicted of a New York felony ceases to be an attorney upon conviction, and the Appellate Division's order striking the attorney's name from the roll is ministerial. The Appellate Division may decline to accept a resignation tendered in anticipation of a felony conviction. Disbarment is published in the New York Law Journal. The guest pleaded guilty in 1986 to grand larceny and forgery, received five years' probation with restitution, and was disbarred.</w:t>
      </w:r>
    </w:p>
    <w:p>
      <w:pPr>
        <w:pStyle w:val="Heading2"/>
        <w:spacing w:after="120" w:before="240"/>
      </w:pPr>
      <w:r>
        <w:rPr>
          <w:b/>
          <w:bCs/>
        </w:rPr>
        <w:t xml:space="preserve">The Lawyers' Fund for Client Protection</w:t>
      </w:r>
    </w:p>
    <w:p>
      <w:pPr>
        <w:spacing w:after="160"/>
      </w:pPr>
      <w:r>
        <w:t xml:space="preserve">The Lawyers' Fund for Client Protection, established under Judiciary Law § 468-b and funded by a portion of the biennial attorney registration fee, reimburses clients for losses caused by the dishonest conduct of New York attorneys. Restitution to the Fund is ordinarily required as a condition of reinstatement, and the Fund reports on the causes of the losses it reimburses, which frequently include alcohol and drug abuse, gambling, and mental illness.</w:t>
      </w:r>
    </w:p>
    <w:p>
      <w:pPr>
        <w:pStyle w:val="Heading2"/>
        <w:spacing w:after="120" w:before="240"/>
      </w:pPr>
      <w:r>
        <w:rPr>
          <w:b/>
          <w:bCs/>
        </w:rPr>
        <w:t xml:space="preserve">Restrictions During Disbarment</w:t>
      </w:r>
    </w:p>
    <w:p>
      <w:pPr>
        <w:spacing w:after="160"/>
      </w:pPr>
      <w:r>
        <w:t xml:space="preserve">A disbarred or suspended attorney may not practice law, hold himself out as an attorney, or share in legal fees, and unauthorized practice is a crime under Judiciary Law §§ 478, 484, and 486; other lawyers may not employ a disbarred attorney in a capacity involving the practice of law, and 22 NYCRR § 1240.15 restricts a disbarred lawyer's employment even as a paralegal without court permission. The guest describes confining himself, on counsel's advice, to ministerial tax preparation and audit representation limited to factual matters, and declining representation before IRS Appeals despite holding an enrolled agent credential.</w:t>
      </w:r>
    </w:p>
    <w:p>
      <w:pPr>
        <w:pStyle w:val="Heading2"/>
        <w:spacing w:after="120" w:before="240"/>
      </w:pPr>
      <w:r>
        <w:rPr>
          <w:b/>
          <w:bCs/>
        </w:rPr>
        <w:t xml:space="preserve">Reinstatement</w:t>
      </w:r>
    </w:p>
    <w:p>
      <w:pPr>
        <w:spacing w:after="160"/>
      </w:pPr>
      <w:r>
        <w:t xml:space="preserve">Under Judiciary Law § 90(5), a disbarred attorney may apply for reinstatement no earlier than seven years after the effective date of disbarment. At the time of the guest's 1998 application, applicants were required to pass the Multistate Professional Responsibility Examination, to demonstrate full compliance with the order of disbarment, and to establish by clear and convincing evidence their character and fitness, including remorse, rehabilitation, and restitution; applications were referred at the court's discretion to a referee and then to a committee including a public member, whose report of no objection preceded the Appellate Division's decision. The guest's reinstatement was granted in 1999 following a search to locate and compensate a victim who had not filed a claim with the Fund.</w:t>
      </w:r>
    </w:p>
    <w:p>
      <w:pPr>
        <w:pStyle w:val="Heading2"/>
        <w:spacing w:after="120" w:before="240"/>
      </w:pPr>
      <w:r>
        <w:rPr>
          <w:b/>
          <w:bCs/>
        </w:rPr>
        <w:t xml:space="preserve">Lawyer Assistance Programs</w:t>
      </w:r>
    </w:p>
    <w:p>
      <w:pPr>
        <w:spacing w:after="160"/>
      </w:pPr>
      <w:r>
        <w:t xml:space="preserve">The New York State Bar Association's Lawyer Assistance Program, established in 1985, and the New York City Bar Association's program, established in 1999, provide confidential assessment, referral, peer support, and monitoring to lawyers, judges, law students, and family members. Judiciary Law § 499 makes communications to lawyer assistance committees privileged and confidential, and Rule 8.3(c) exempts information received in a lawyer assistance program from the duty to report misconduct. The New York Lawyer Assistance Trust, created in 2000 at the initiative of Chief Judge Judith Kaye, funds programs statewide. The programs' mission expanded in 2005 beyond alcoholism to drug addiction, gambling, mental health, and other impairments. The guest describes his progression from volunteer peer counselor to chair of the City Bar's committee (2009–2012) and subsequently of the State Bar's committee.</w:t>
      </w:r>
    </w:p>
    <w:p>
      <w:pPr>
        <w:pStyle w:val="Heading2"/>
        <w:spacing w:after="120" w:before="240"/>
      </w:pPr>
      <w:r>
        <w:rPr>
          <w:b/>
          <w:bCs/>
        </w:rPr>
        <w:t xml:space="preserve">Developments to Know</w:t>
      </w:r>
    </w:p>
    <w:p>
      <w:pPr>
        <w:spacing w:after="160"/>
      </w:pPr>
      <w:r>
        <w:t xml:space="preserve">The Rules for Attorney Disciplinary Matters, 22 NYCRR Part 1240, effective October 1, 2016, established uniform statewide procedures. Section 1240.12 provides for automatic disbarment upon a felony conviction and interim suspension upon conviction of a serious crime. Section 1240.16 governs reinstatement, requiring for disbarred attorneys a waiting period of seven years, a sworn application on a prescribed form, proof of compliance with the order and with Judiciary Law § 90, payment of restitution or reimbursement to the Lawyers' Fund, passage of the Multistate Professional Responsibility Examination, and a showing by clear and convincing evidence of character and fitness and that reinstatement would be in the public interest; applications may be referred to a referee or a Character and Fitness Committee for hearing. Section 1240.11 established a diversion program under which a respondent whose misconduct is attributable to alcohol or substance abuse or a mental or physical health condition may be diverted, at any stage of the proceeding, to a monitoring program administered by a lawyer assistance program, with the proceeding stayed and eligible for dismissal on successful completion. The Lawyers' Fund for Client Protection's maximum award per claim is $400,000. The 2016 study by the ABA Commission on Lawyer Assistance Programs and the Hazelden Betty Ford Foundation reported problematic drinking among 20.6 percent of practicing lawyers and depression among 28 percent. In 2020 the New York Court of Appeals removed the mental-health inquiry from the bar application. In February 2026 the New York City Bar Association appointed Meredith Heller, a former chair of its Lawyer Assistance Program Committee, as Director of the program upon the retirement of founding director Eileen Travis.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2026-09-25T18:31:58.208Z</dcterms:created>
  <dcterms:modified xsi:type="dcterms:W3CDTF">2026-09-25T18:31:58.208Z</dcterms:modified>
</cp:coreProperties>
</file>

<file path=docProps/custom.xml><?xml version="1.0" encoding="utf-8"?>
<Properties xmlns="http://schemas.openxmlformats.org/officeDocument/2006/custom-properties" xmlns:vt="http://schemas.openxmlformats.org/officeDocument/2006/docPropsVTypes"/>
</file>