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Autonomous Deadly Weapons: Law, Ethics, and Human Control</w:t>
      </w:r>
    </w:p>
    <w:p>
      <w:pPr>
        <w:spacing w:after="200"/>
      </w:pPr>
      <w:r>
        <w:rPr>
          <w:rFonts w:ascii="Montserrat" w:cs="Montserrat" w:eastAsia="Montserrat" w:hAnsi="Montserrat"/>
          <w:b/>
          <w:bCs/>
          <w:color w:val="E87722"/>
          <w:sz w:val="24"/>
          <w:szCs w:val="24"/>
        </w:rPr>
        <w:t>Mitt Regan, McDevitt Professor of Jurisprudence and Director, Center on Ethics and the Legal Profession, Georgetown University Law Center</w:t>
      </w:r>
    </w:p>
    <w:p>
      <w:pPr>
        <w:pStyle w:val="Heading2"/>
        <w:spacing w:after="120" w:before="240"/>
      </w:pPr>
      <w:r>
        <w:rPr>
          <w:b/>
          <w:bCs/>
        </w:rPr>
        <w:t>Overview</w:t>
      </w:r>
    </w:p>
    <w:p>
      <w:pPr>
        <w:spacing w:after="160"/>
      </w:pPr>
      <w:r>
        <w:t>This program examines the legal and ethical framework governing autonomous and AI-enabled weapon systems. Professor Mitt Regan explains how artificial intelligence is used across the targeting cycle; the distinction between automated, semi-autonomous, and autonomous functions and between "human in the loop" and "human on the loop" control; the risk of automation bias; the application of international humanitarian law, including the principles of distinction, proportionality, and precautions in attack and the Article 36 weapons-review obligation; the concept of meaningful human control as a property of the system as a whole; the challenges of explainability, adversarial manipulation, and dual-use targets; and the state of international negotiations under the Convention on Certain Conventional Weapons. The program updates the discussion with the September 2026 consensus elements adopted by the CCW Group of Governmental Experts, UN General Assembly Resolution 80/57, the November 2026 CCW Review Conference, revisions to U.S. Department of Defense policy, and reported incidents involving AI-assisted targeting in Gaza and the 2026 Iran conflict.</w:t>
      </w:r>
    </w:p>
    <w:p>
      <w:pPr>
        <w:pStyle w:val="Heading2"/>
        <w:spacing w:after="120" w:before="240"/>
      </w:pPr>
      <w:r>
        <w:rPr>
          <w:b/>
          <w:bCs/>
        </w:rPr>
        <w:t>Learning Objectives</w:t>
      </w:r>
    </w:p>
    <w:p>
      <w:pPr>
        <w:pStyle w:val="ListParagraph"/>
        <w:numPr>
          <w:ilvl w:val="0"/>
          <w:numId w:val="1"/>
        </w:numPr>
        <w:spacing w:after="80"/>
      </w:pPr>
      <w:r>
        <w:t>Describe the functions that artificial intelligence performs in modern targeting and distinguish degrees of autonomy and modes of human control.</w:t>
      </w:r>
    </w:p>
    <w:p>
      <w:pPr>
        <w:pStyle w:val="ListParagraph"/>
        <w:numPr>
          <w:ilvl w:val="0"/>
          <w:numId w:val="1"/>
        </w:numPr>
        <w:spacing w:after="80"/>
      </w:pPr>
      <w:r>
        <w:t>Apply the principles of distinction, proportionality, and precautions in attack under Additional Protocol I and customary international law to AI-enabled weapon systems.</w:t>
      </w:r>
    </w:p>
    <w:p>
      <w:pPr>
        <w:pStyle w:val="ListParagraph"/>
        <w:numPr>
          <w:ilvl w:val="0"/>
          <w:numId w:val="1"/>
        </w:numPr>
        <w:spacing w:after="80"/>
      </w:pPr>
      <w:r>
        <w:t>Explain the Article 36 legal review obligation and the elements of a weapons review for a system whose behavior is probabilistic or self-adapting.</w:t>
      </w:r>
    </w:p>
    <w:p>
      <w:pPr>
        <w:pStyle w:val="ListParagraph"/>
        <w:numPr>
          <w:ilvl w:val="0"/>
          <w:numId w:val="1"/>
        </w:numPr>
        <w:spacing w:after="80"/>
      </w:pPr>
      <w:r>
        <w:t>Analyze the concept of meaningful human control, the risk of automation bias, and the legal significance of explainability and adversarial manipulation.</w:t>
      </w:r>
    </w:p>
    <w:p>
      <w:pPr>
        <w:pStyle w:val="ListParagraph"/>
        <w:numPr>
          <w:ilvl w:val="0"/>
          <w:numId w:val="1"/>
        </w:numPr>
        <w:spacing w:after="80"/>
      </w:pPr>
      <w:r>
        <w:t>Summarize the status of international efforts to regulate lethal autonomous weapon systems and current United States policy.</w:t>
      </w:r>
    </w:p>
    <w:p>
      <w:pPr>
        <w:pStyle w:val="Heading2"/>
        <w:spacing w:after="120" w:before="240"/>
      </w:pPr>
      <w:r>
        <w:rPr>
          <w:b/>
          <w:bCs/>
        </w:rPr>
        <w:t>Technology and Degrees of Autonomy</w:t>
      </w:r>
    </w:p>
    <w:p>
      <w:pPr>
        <w:pStyle w:val="ListParagraph"/>
        <w:numPr>
          <w:ilvl w:val="0"/>
          <w:numId w:val="1"/>
        </w:numPr>
        <w:spacing w:after="80"/>
      </w:pPr>
      <w:r>
        <w:t>AI is used throughout the targeting cycle: intelligence processing, target identification and recommendation, weaponeering, guidance, and battle damage assessment. The U.S. Department of Defense defines an autonomous weapon system as one that, once activated, can select and engage targets without further operator intervention (DoD Directive 3000.09, updated January 2023).</w:t>
      </w:r>
    </w:p>
    <w:p>
      <w:pPr>
        <w:pStyle w:val="ListParagraph"/>
        <w:numPr>
          <w:ilvl w:val="0"/>
          <w:numId w:val="1"/>
        </w:numPr>
        <w:spacing w:after="80"/>
      </w:pPr>
      <w:r>
        <w:t>"Human in the loop" systems require an affirmative human decision to engage; "human on the loop" systems engage automatically subject to human supervision and override; some loitering munitions (e.g., reported capabilities of the Russian Lancet) can complete an engagement after losing communication.</w:t>
      </w:r>
    </w:p>
    <w:p>
      <w:pPr>
        <w:pStyle w:val="ListParagraph"/>
        <w:numPr>
          <w:ilvl w:val="0"/>
          <w:numId w:val="1"/>
        </w:numPr>
        <w:spacing w:after="80"/>
      </w:pPr>
      <w:r>
        <w:t>Long-accepted automated defensive systems (Aegis, Phalanx CIWS, Iron Dome) engage incoming projectiles without real-time human authorization but within narrow, pre-set parameters, illustrating constrained delegation.</w:t>
      </w:r>
    </w:p>
    <w:p>
      <w:pPr>
        <w:pStyle w:val="ListParagraph"/>
        <w:numPr>
          <w:ilvl w:val="0"/>
          <w:numId w:val="1"/>
        </w:numPr>
        <w:spacing w:after="80"/>
      </w:pPr>
      <w:r>
        <w:t>Automation bias, the tendency of operators to defer to machine outputs, is a documented risk; the 1983 Petrov incident and the 2003 Patriot fratricide incidents are standard case studies.</w:t>
      </w:r>
    </w:p>
    <w:p>
      <w:pPr>
        <w:pStyle w:val="Heading2"/>
        <w:spacing w:after="120" w:before="240"/>
      </w:pPr>
      <w:r>
        <w:rPr>
          <w:b/>
          <w:bCs/>
        </w:rPr>
        <w:t>International Humanitarian Law</w:t>
      </w:r>
    </w:p>
    <w:p>
      <w:pPr>
        <w:pStyle w:val="ListParagraph"/>
        <w:numPr>
          <w:ilvl w:val="0"/>
          <w:numId w:val="1"/>
        </w:numPr>
        <w:spacing w:after="80"/>
      </w:pPr>
      <w:r>
        <w:t>Distinction (AP I arts. 48, 51, 52), proportionality (art. 51(5)(b)), and precautions in attack (art. 57) apply to any attack regardless of the means; responsibility rests with the commander and operators who plan and decide on the attack, not with the system.</w:t>
      </w:r>
    </w:p>
    <w:p>
      <w:pPr>
        <w:pStyle w:val="ListParagraph"/>
        <w:numPr>
          <w:ilvl w:val="0"/>
          <w:numId w:val="1"/>
        </w:numPr>
        <w:spacing w:after="80"/>
      </w:pPr>
      <w:r>
        <w:t>Article 36 of Additional Protocol I requires states to determine whether a new weapon, means, or method of warfare would be prohibited in some or all circumstances; reviews of AI-enabled systems must address reliability, predictability, the operating environment, and the risk of unintended engagements. The United States, though not a party to AP I, conducts legal reviews under DoD Directive 5000.01 and service regulations.</w:t>
      </w:r>
    </w:p>
    <w:p>
      <w:pPr>
        <w:pStyle w:val="ListParagraph"/>
        <w:numPr>
          <w:ilvl w:val="0"/>
          <w:numId w:val="1"/>
        </w:numPr>
        <w:spacing w:after="80"/>
      </w:pPr>
      <w:r>
        <w:t>The ICRC's 2021 position calls for prohibiting unpredictable autonomous weapons and those designed to target humans, and for restrictions on other systems (limits on targets, duration, geographic scope, and scale, and requirements for human supervision).</w:t>
      </w:r>
    </w:p>
    <w:p>
      <w:pPr>
        <w:pStyle w:val="ListParagraph"/>
        <w:numPr>
          <w:ilvl w:val="0"/>
          <w:numId w:val="1"/>
        </w:numPr>
        <w:spacing w:after="80"/>
      </w:pPr>
      <w:r>
        <w:t>Dual-use objects, spoofing of classifiers, and the opacity of machine-learning models complicate both ex ante review and ex post accountability; a commander must be able to explain the basis for a strike.</w:t>
      </w:r>
    </w:p>
    <w:p>
      <w:pPr>
        <w:pStyle w:val="ListParagraph"/>
        <w:numPr>
          <w:ilvl w:val="0"/>
          <w:numId w:val="1"/>
        </w:numPr>
        <w:spacing w:after="80"/>
      </w:pPr>
      <w:r>
        <w:t>Cumulative civilian harm from infrastructure destruction (power, water, sanitation, medical systems) is not fully captured by the attack-by-attack proportionality analysis; scholarship on "reverberating effects" and the "paradox of precision" addresses this gap.</w:t>
      </w:r>
    </w:p>
    <w:p>
      <w:pPr>
        <w:pStyle w:val="Heading2"/>
        <w:spacing w:after="120" w:before="240"/>
      </w:pPr>
      <w:r>
        <w:rPr>
          <w:b/>
          <w:bCs/>
        </w:rPr>
        <w:t>Accountability</w:t>
      </w:r>
    </w:p>
    <w:p>
      <w:pPr>
        <w:pStyle w:val="ListParagraph"/>
        <w:numPr>
          <w:ilvl w:val="0"/>
          <w:numId w:val="1"/>
        </w:numPr>
        <w:spacing w:after="80"/>
      </w:pPr>
      <w:r>
        <w:t>Individual criminal responsibility under the Rome Statute and domestic military law attaches to persons; an autonomous system cannot be a perpetrator. Command responsibility (Rome Statute art. 28) and the doctrine of reckless or willful violations apply to deployment decisions.</w:t>
      </w:r>
    </w:p>
    <w:p>
      <w:pPr>
        <w:pStyle w:val="ListParagraph"/>
        <w:numPr>
          <w:ilvl w:val="0"/>
          <w:numId w:val="1"/>
        </w:numPr>
        <w:spacing w:after="80"/>
      </w:pPr>
      <w:r>
        <w:t>State responsibility for internationally wrongful acts applies to violations of IHL resulting from the use of autonomous systems; the standard of "feasible precautions" is informed by the reliability data generated in testing and review.</w:t>
      </w:r>
    </w:p>
    <w:p>
      <w:pPr>
        <w:pStyle w:val="ListParagraph"/>
        <w:numPr>
          <w:ilvl w:val="0"/>
          <w:numId w:val="1"/>
        </w:numPr>
        <w:spacing w:after="80"/>
      </w:pPr>
      <w:r>
        <w:t>Reported use of AI-assisted target-generation systems by the Israel Defense Forces in Gaza (2023–24) has prompted debate about the pace of machine-recommended strikes and the adequacy of human review.</w:t>
      </w:r>
    </w:p>
    <w:p>
      <w:pPr>
        <w:pStyle w:val="Heading2"/>
        <w:spacing w:after="120" w:before="240"/>
      </w:pPr>
      <w:r>
        <w:rPr>
          <w:b/>
          <w:bCs/>
        </w:rPr>
        <w:t>International Regulation</w:t>
      </w:r>
    </w:p>
    <w:p>
      <w:pPr>
        <w:pStyle w:val="ListParagraph"/>
        <w:numPr>
          <w:ilvl w:val="0"/>
          <w:numId w:val="1"/>
        </w:numPr>
        <w:spacing w:after="80"/>
      </w:pPr>
      <w:r>
        <w:t>The CCW Group of Governmental Experts on lethal autonomous weapon systems has met since 2017 under consensus rules; it adopted eleven guiding principles in 2019 and, on September 5, 2026, a consensus report on elements of a possible instrument, including a prohibition on systems that cannot be used in compliance with IHL and regulation of others. The CCW Seventh Review Conference (November 16–20, 2026) will consider whether to adopt a negotiating mandate.</w:t>
      </w:r>
    </w:p>
    <w:p>
      <w:pPr>
        <w:pStyle w:val="ListParagraph"/>
        <w:numPr>
          <w:ilvl w:val="0"/>
          <w:numId w:val="1"/>
        </w:numPr>
        <w:spacing w:after="80"/>
      </w:pPr>
      <w:r>
        <w:t>UN General Assembly Resolution 80/57 (December 2025), adopted 164–6 with 7 abstentions, calls for urgent action and a binding instrument; the UN Secretary-General and ICRC President issued a joint call in August 2026 for conclusion of a treaty by the end of 2026.</w:t>
      </w:r>
    </w:p>
    <w:p>
      <w:pPr>
        <w:pStyle w:val="ListParagraph"/>
        <w:numPr>
          <w:ilvl w:val="0"/>
          <w:numId w:val="1"/>
        </w:numPr>
        <w:spacing w:after="80"/>
      </w:pPr>
      <w:r>
        <w:t>Regional and national positions vary: a group of states supports a two-tier treaty of prohibitions and regulations; the United States, Russia, India, and Israel have favored non-binding measures or existing IHL.</w:t>
      </w:r>
    </w:p>
    <w:p>
      <w:pPr>
        <w:pStyle w:val="Heading2"/>
        <w:spacing w:after="120" w:before="240"/>
      </w:pPr>
      <w:r>
        <w:rPr>
          <w:b/>
          <w:bCs/>
        </w:rPr>
        <w:t>United States Policy</w:t>
      </w:r>
    </w:p>
    <w:p>
      <w:pPr>
        <w:pStyle w:val="ListParagraph"/>
        <w:numPr>
          <w:ilvl w:val="0"/>
          <w:numId w:val="1"/>
        </w:numPr>
        <w:spacing w:after="80"/>
      </w:pPr>
      <w:r>
        <w:t>DoD Directive 3000.09 (2023) requires that autonomous and semi-autonomous weapon systems be designed to allow commanders and operators to exercise appropriate levels of human judgment, and establishes senior-level review for certain systems; the directive is under revision following National Security Presidential Memorandum 11 (June 5, 2026).</w:t>
      </w:r>
    </w:p>
    <w:p>
      <w:pPr>
        <w:pStyle w:val="ListParagraph"/>
        <w:numPr>
          <w:ilvl w:val="0"/>
          <w:numId w:val="1"/>
        </w:numPr>
        <w:spacing w:after="80"/>
      </w:pPr>
      <w:r>
        <w:t>The 2023 Political Declaration on Responsible Military Use of AI and Autonomy has been endorsed by more than fifty states.</w:t>
      </w:r>
    </w:p>
    <w:p>
      <w:pPr>
        <w:pStyle w:val="ListParagraph"/>
        <w:numPr>
          <w:ilvl w:val="0"/>
          <w:numId w:val="1"/>
        </w:numPr>
        <w:spacing w:after="80"/>
      </w:pPr>
      <w:r>
        <w:t>Programs: the Replicator initiative (2023) was absorbed into the Defense Autonomous Warfare Group; the FY2027 budget request includes $54.6 billion for autonomy and unmanned systems, including the Drone Dominance Program.</w:t>
      </w:r>
    </w:p>
    <w:p>
      <w:pPr>
        <w:pStyle w:val="ListParagraph"/>
        <w:numPr>
          <w:ilvl w:val="0"/>
          <w:numId w:val="1"/>
        </w:numPr>
        <w:spacing w:after="80"/>
      </w:pPr>
      <w:r>
        <w:t>Industry: Microsoft terminated an Israeli military intelligence unit's access to certain cloud services in September 2025 after a review of their use; vendor policies and procurement terms are an emerging source of constraint.</w:t>
      </w:r>
    </w:p>
    <w:p>
      <w:pPr>
        <w:pStyle w:val="Heading2"/>
        <w:spacing w:after="120" w:before="240"/>
      </w:pPr>
      <w:r>
        <w:rPr>
          <w:b/>
          <w:bCs/>
        </w:rPr>
        <w:t>Developments to Know</w:t>
      </w:r>
    </w:p>
    <w:p>
      <w:pPr>
        <w:pStyle w:val="ListParagraph"/>
        <w:numPr>
          <w:ilvl w:val="0"/>
          <w:numId w:val="1"/>
        </w:numPr>
        <w:spacing w:after="80"/>
      </w:pPr>
      <w:r>
        <w:t>CCW GGE consensus report on elements of a possible instrument (September 5, 2026); CCW Review Conference, November 16–20, 2026, to decide on a negotiating mandate.</w:t>
      </w:r>
    </w:p>
    <w:p>
      <w:pPr>
        <w:pStyle w:val="ListParagraph"/>
        <w:numPr>
          <w:ilvl w:val="0"/>
          <w:numId w:val="1"/>
        </w:numPr>
        <w:spacing w:after="80"/>
      </w:pPr>
      <w:r>
        <w:t>UN General Assembly Resolution 80/57 (December 2025), 164–6–7.</w:t>
      </w:r>
    </w:p>
    <w:p>
      <w:pPr>
        <w:pStyle w:val="ListParagraph"/>
        <w:numPr>
          <w:ilvl w:val="0"/>
          <w:numId w:val="1"/>
        </w:numPr>
        <w:spacing w:after="80"/>
      </w:pPr>
      <w:r>
        <w:t>National Security Presidential Memorandum 11 (June 2026) and pending revision of DoD Directive 3000.09; FY2027 autonomy budget request of $54.6 billion.</w:t>
      </w:r>
    </w:p>
    <w:p>
      <w:pPr>
        <w:pStyle w:val="ListParagraph"/>
        <w:numPr>
          <w:ilvl w:val="0"/>
          <w:numId w:val="1"/>
        </w:numPr>
        <w:spacing w:after="80"/>
      </w:pPr>
      <w:r>
        <w:t>Reported over-reliance on an AI targeting tool in the 2026 strike at the port of Minab, Iran, under investigation.</w:t>
      </w:r>
    </w:p>
    <w:p>
      <w:pPr>
        <w:pStyle w:val="ListParagraph"/>
        <w:numPr>
          <w:ilvl w:val="0"/>
          <w:numId w:val="1"/>
        </w:numPr>
        <w:spacing w:after="80"/>
      </w:pPr>
      <w:r>
        <w:t>Continued reporting on AI-assisted target generation in Gaza and the Microsoft–Unit 8200 decision (September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