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Dangers of a Lateral Move</w:t>
      </w:r>
    </w:p>
    <w:p>
      <w:pPr>
        <w:spacing w:after="200"/>
      </w:pPr>
      <w:r>
        <w:rPr>
          <w:rFonts w:ascii="Montserrat" w:cs="Montserrat" w:eastAsia="Montserrat" w:hAnsi="Montserrat"/>
          <w:b/>
          <w:bCs/>
          <w:color w:val="E87722"/>
          <w:sz w:val="24"/>
          <w:szCs w:val="24"/>
        </w:rPr>
        <w:t xml:space="preserve">Sarah McShea</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professional responsibility issues that arise when a lawyer moves from one law firm to another, organized around three stages: before the lawyer gives notice, during the transition, and after the lawyer joins the new firm. It addresses fiduciary duties to the current firm, confidentiality constraints on conflicts checking, communications with clients about a departure, the treatment of client files and firm property, imputation of conflicts and screening, and the conflict issues presented by law firm mergers, with reference to the New York Rules of Professional Conduct and related authority.</w:t>
      </w:r>
    </w:p>
    <w:p>
      <w:pPr>
        <w:pStyle w:val="Heading2"/>
        <w:spacing w:after="120" w:before="240"/>
      </w:pPr>
      <w:r>
        <w:rPr>
          <w:b/>
          <w:bCs/>
        </w:rPr>
        <w:t xml:space="preserve">Fiduciary Duties to the Current Firm</w:t>
      </w:r>
    </w:p>
    <w:p>
      <w:pPr>
        <w:spacing w:after="160"/>
      </w:pPr>
      <w:r>
        <w:t xml:space="preserve">A partner owes the firm duties of loyalty, good faith, and fair dealing under partnership law and the firm's partnership agreement, and an associate owes analogous duties as an employee. In Graubard Mollen Dannett &amp; Horowitz v. Moskovitz (N.Y. 1995), the New York Court of Appeals held that a departing partner may make preliminary arrangements to leave but breaches fiduciary duty by secretly soliciting clients for a new firm before departure, by lying to partners about plans, or by taking client files or firm proprietary information. The guest emphasizes that these duties apply regardless of how the lawyer believes the firm has treated her, and that they govern the timing of any client or associate solicitation.</w:t>
      </w:r>
    </w:p>
    <w:p>
      <w:pPr>
        <w:pStyle w:val="Heading2"/>
        <w:spacing w:after="120" w:before="240"/>
      </w:pPr>
      <w:r>
        <w:rPr>
          <w:b/>
          <w:bCs/>
        </w:rPr>
        <w:t xml:space="preserve">Client Confidentiality and Conflicts Checking</w:t>
      </w:r>
    </w:p>
    <w:p>
      <w:pPr>
        <w:spacing w:after="160"/>
      </w:pPr>
      <w:r>
        <w:t xml:space="preserve">Rule 1.6 prohibits disclosure of confidential information, which includes client identity and the nature of a matter where those facts are not generally known. At the time of the program, New York had not adopted an express exception permitting disclosure for the purpose of detecting conflicts in a prospective lateral move, although ABA Model Rule 1.6(b)(7), adopted in 2012, permits limited disclosure for that purpose where it would not compromise the privilege or prejudice the client. The guest describes common practices: designating a single lawyer at the prospective firm to receive limited information under a written non-disclosure arrangement, keeping that information off firm systems, destroying it if the move does not proceed, and in some cases retaining an outside ethics counsel to compare client lists.</w:t>
      </w:r>
    </w:p>
    <w:p>
      <w:pPr>
        <w:pStyle w:val="Heading2"/>
        <w:spacing w:after="120" w:before="240"/>
      </w:pPr>
      <w:r>
        <w:rPr>
          <w:b/>
          <w:bCs/>
        </w:rPr>
        <w:t xml:space="preserve">Communicating with Clients About a Departure</w:t>
      </w:r>
    </w:p>
    <w:p>
      <w:pPr>
        <w:spacing w:after="160"/>
      </w:pPr>
      <w:r>
        <w:t xml:space="preserve">Rule 1.4 requires a lawyer to keep clients reasonably informed of material developments in the representation, and a lawyer's imminent departure from the firm handling a client's matter is ordinarily such a development. ABA Formal Opinion 99-414 concluded that a departing lawyer may notify current clients for whom the lawyer is responsible, that notice should be limited to informing the client of the departure and the client's right to choose counsel, that it should not disparage the former firm, and that joint notice from the lawyer and the firm is preferred. The guest advises that, subject to matters at a delicate stage, client communications about a move should generally follow notice to the firm.</w:t>
      </w:r>
    </w:p>
    <w:p>
      <w:pPr>
        <w:pStyle w:val="Heading2"/>
        <w:spacing w:after="120" w:before="240"/>
      </w:pPr>
      <w:r>
        <w:rPr>
          <w:b/>
          <w:bCs/>
        </w:rPr>
        <w:t xml:space="preserve">Client Files and Firm Property</w:t>
      </w:r>
    </w:p>
    <w:p>
      <w:pPr>
        <w:spacing w:after="160"/>
      </w:pPr>
      <w:r>
        <w:t xml:space="preserve">Client files belong to the client, and Rule 1.16(e) requires that on termination of a representation the lawyer take reasonable steps to avoid prejudice to the client, including delivering papers and property to which the client is entitled. Work product, forms, and precedents created at a firm are generally the firm's property. The guest explains that a lawyer may retain client contact information but may not copy firm or client documents without authorization, that unauthorized downloading of firm files may constitute larceny or unauthorized computer access under New York Penal Law Articles 155 and 156 and may implicate the federal Computer Fraud and Abuse Act, 18 U.S.C. § 1030, and that documents retained on personal devices from prior employment must be returned rather than deleted.</w:t>
      </w:r>
    </w:p>
    <w:p>
      <w:pPr>
        <w:pStyle w:val="Heading2"/>
        <w:spacing w:after="120" w:before="240"/>
      </w:pPr>
      <w:r>
        <w:rPr>
          <w:b/>
          <w:bCs/>
        </w:rPr>
        <w:t xml:space="preserve">Imputation and Screening</w:t>
      </w:r>
    </w:p>
    <w:p>
      <w:pPr>
        <w:spacing w:after="160"/>
      </w:pPr>
      <w:r>
        <w:t xml:space="preserve">Rule 1.9 prohibits a lawyer from representing a client in the same or a substantially related matter materially adverse to a former client without informed written consent, and from using or revealing the former client's confidential information. Rule 1.10(a) imputes one lawyer's conflicts to all lawyers associated in the firm. Rule 1.0(t) defines screening as the isolation of a lawyer from participation in a matter through timely procedures reasonably adequate to protect confidential information. At the time of the program, New York Rule 1.10 permitted a firm to avoid imputation of a lateral's former-client conflict only where the lateral had not acquired material confidential information, and otherwise required the former client's consent; the guest characterizes the New York position as permitting screens only where they were not needed. Effective screens typically exclude the screened lawyer from files, communications, and fees relating to the matter, and courts have found screens inadequate where implemented late or in small firms where isolation is impractical.</w:t>
      </w:r>
    </w:p>
    <w:p>
      <w:pPr>
        <w:pStyle w:val="Heading2"/>
        <w:spacing w:after="120" w:before="240"/>
      </w:pPr>
      <w:r>
        <w:rPr>
          <w:b/>
          <w:bCs/>
        </w:rPr>
        <w:t xml:space="preserve">Law Firm Mergers</w:t>
      </w:r>
    </w:p>
    <w:p>
      <w:pPr>
        <w:spacing w:after="160"/>
      </w:pPr>
      <w:r>
        <w:t xml:space="preserve">A merger combines the conflicts of both firms. Rule 1.7 prohibits concurrent representation of clients with differing interests absent informed consent, and where a client of one legacy firm becomes adverse to a client of the other in a new matter after the merger, the combined firm may be unable to represent either in that matter and may be required to withdraw. The guest recommends conflicts review across both client rosters before a merger and notes that future adversity between major clients cannot always be anticipated.</w:t>
      </w:r>
    </w:p>
    <w:p>
      <w:pPr>
        <w:pStyle w:val="Heading2"/>
        <w:spacing w:after="120" w:before="240"/>
      </w:pPr>
      <w:r>
        <w:rPr>
          <w:b/>
          <w:bCs/>
        </w:rPr>
        <w:t xml:space="preserve">Developments to Know</w:t>
      </w:r>
    </w:p>
    <w:p>
      <w:pPr>
        <w:spacing w:after="160"/>
      </w:pPr>
      <w:r>
        <w:t xml:space="preserve">New York amended Rule 1.6 and its comments, including Comments 18A through 18F, to permit a lawyer contemplating a lateral move or law firm merger to disclose limited information reasonably necessary to detect and resolve conflicts of interest, including client identities, a brief summary of the nature and status of matters, publicly available information, and aggregate financial information, provided the disclosure does not compromise the attorney-client privilege or otherwise prejudice the client. Effective January 1, 2025, New York amended Rule 1.10 to add subsection (c), under which a lateral attorney's former-client conflict is not imputed to the new firm if the firm promptly notifies affected personnel of the lateral's disqualification, effectively screens the lateral from the matter, apportions the lateral no part of the fee, and gives prompt written notice to the former client; under Rule 1.10(c)(3), the safe harbor is unavailable where the matter is a litigation, arbitration, or other adjudicative proceeding in which the lateral substantially participated in the management and direction of the matter or had substantial day-to-day decision-making responsibility, in which case the former client's waiver is required. New York City Bar Formal Opinion 2026-1 (July 30, 2026) provides guidance on the content and timing of the notice, the confidentiality exception permitting delay, the recipient of the notice where the former client remains represented by the former firm, and the obligations of lawyers receiving such notice. New York City Bar Formal Opinion 2023-1 addresses lawyer departures and confirms that, absent unusual circumstances, client communications concerning a potential departure should not precede notice to the current firm, and that the conflicts-checking exception to Rule 1.6 does not authorize contacting clients for waivers before notice. ABA Formal Opinion 489 (December 2019) concludes that firms may not require a fixed notice period during which a departing lawyer must continue to work, may not restrict the departing lawyer's communications with clients after notice, and must cooperate with the departing lawyer in an orderly transition, because the choice of counsel belongs to the client.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2026-09-24T05:17:19.432Z</dcterms:created>
  <dcterms:modified xsi:type="dcterms:W3CDTF">2026-09-24T05:17:19.432Z</dcterms:modified>
</cp:coreProperties>
</file>

<file path=docProps/custom.xml><?xml version="1.0" encoding="utf-8"?>
<Properties xmlns="http://schemas.openxmlformats.org/officeDocument/2006/custom-properties" xmlns:vt="http://schemas.openxmlformats.org/officeDocument/2006/docPropsVTypes"/>
</file>