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80" w:before="0" w:line="246.99999999999994" w:lineRule="auto"/>
        <w:jc w:val="center"/>
        <w:rPr/>
      </w:pPr>
      <w:r w:rsidDel="00000000" w:rsidR="00000000" w:rsidRPr="00000000">
        <w:rPr>
          <w:b w:val="1"/>
          <w:bCs w:val="1"/>
          <w:sz w:val="28"/>
          <w:szCs w:val="28"/>
          <w:rtl w:val="0"/>
        </w:rPr>
        <w:t xml:space="preserve">Continuing Legal Education Written Materials</w:t>
      </w:r>
      <w:r w:rsidDel="00000000" w:rsidR="00000000" w:rsidRPr="00000000">
        <w:rPr>
          <w:rtl w:val="0"/>
        </w:rPr>
      </w:r>
    </w:p>
    <w:p w:rsidR="00000000" w:rsidDel="00000000" w:rsidP="00000000" w:rsidRDefault="00000000" w:rsidRPr="00000000" w14:paraId="00000002">
      <w:pPr>
        <w:spacing w:after="80" w:before="0" w:line="246.99999999999994" w:lineRule="auto"/>
        <w:jc w:val="center"/>
        <w:rPr/>
      </w:pPr>
      <w:r w:rsidDel="00000000" w:rsidR="00000000" w:rsidRPr="00000000">
        <w:rPr>
          <w:b w:val="1"/>
          <w:bCs w:val="1"/>
          <w:sz w:val="28"/>
          <w:szCs w:val="28"/>
          <w:rtl w:val="0"/>
        </w:rPr>
        <w:t xml:space="preserve">AI Models &amp; Copyright Battles: Training Data, Fair Use, Output Liability, and Licensing</w:t>
      </w:r>
      <w:r w:rsidDel="00000000" w:rsidR="00000000" w:rsidRPr="00000000">
        <w:rPr>
          <w:rtl w:val="0"/>
        </w:rPr>
      </w:r>
    </w:p>
    <w:p w:rsidR="00000000" w:rsidDel="00000000" w:rsidP="00000000" w:rsidRDefault="00000000" w:rsidRPr="00000000" w14:paraId="00000003">
      <w:pPr>
        <w:spacing w:after="80" w:before="0" w:line="246.99999999999994" w:lineRule="auto"/>
        <w:jc w:val="center"/>
        <w:rPr/>
      </w:pPr>
      <w:r w:rsidDel="00000000" w:rsidR="00000000" w:rsidRPr="00000000">
        <w:rPr>
          <w:b w:val="0"/>
          <w:bCs w:val="0"/>
          <w:sz w:val="21"/>
          <w:szCs w:val="21"/>
          <w:rtl w:val="0"/>
        </w:rPr>
        <w:t xml:space="preserve">Based on a TalksOnLaw interview with Professor Shyamkrishna Balganesh</w:t>
      </w:r>
      <w:r w:rsidDel="00000000" w:rsidR="00000000" w:rsidRPr="00000000">
        <w:rPr>
          <w:rtl w:val="0"/>
        </w:rPr>
      </w:r>
    </w:p>
    <w:p w:rsidR="00000000" w:rsidDel="00000000" w:rsidP="00000000" w:rsidRDefault="00000000" w:rsidRPr="00000000" w14:paraId="00000004">
      <w:pPr>
        <w:spacing w:after="80" w:before="0" w:line="246.99999999999994" w:lineRule="auto"/>
        <w:rPr/>
      </w:pPr>
      <w:r w:rsidDel="00000000" w:rsidR="00000000" w:rsidRPr="00000000">
        <w:rPr>
          <w:rtl w:val="0"/>
        </w:rPr>
      </w:r>
    </w:p>
    <w:p w:rsidR="00000000" w:rsidDel="00000000" w:rsidP="00000000" w:rsidRDefault="00000000" w:rsidRPr="00000000" w14:paraId="00000005">
      <w:pPr>
        <w:spacing w:after="80" w:before="0" w:line="246.99999999999994" w:lineRule="auto"/>
        <w:rPr/>
      </w:pPr>
      <w:r w:rsidDel="00000000" w:rsidR="00000000" w:rsidRPr="00000000">
        <w:rPr>
          <w:rtl w:val="0"/>
        </w:rPr>
        <w:t xml:space="preserve">How to Use These Materials These written materials are designed to stand alone as an instructional tool. They track and elaborate on the topics discussed in the interview, provide definitions and practical checklists, and include additional reference material attorneys can use after the course. They are not legal advice. AI development, copyright infringement, fair use, licensing, right-of-publicity, transparency, and litigation-strategy questions are fact-specific and should be evaluated with qualified counsel, technical experts, licensing professionals, and other advisors as appropriate.</w:t>
      </w:r>
    </w:p>
    <w:p w:rsidR="00000000" w:rsidDel="00000000" w:rsidP="00000000" w:rsidRDefault="00000000" w:rsidRPr="00000000" w14:paraId="00000006">
      <w:pPr>
        <w:pStyle w:val="Heading1"/>
        <w:spacing w:after="80" w:before="0" w:line="246.99999999999994" w:lineRule="auto"/>
        <w:rPr/>
      </w:pPr>
      <w:r w:rsidDel="00000000" w:rsidR="00000000" w:rsidRPr="00000000">
        <w:rPr>
          <w:rtl w:val="0"/>
        </w:rPr>
        <w:t xml:space="preserve">1. Course Overview and Learning Objectives</w:t>
      </w:r>
    </w:p>
    <w:p w:rsidR="00000000" w:rsidDel="00000000" w:rsidP="00000000" w:rsidRDefault="00000000" w:rsidRPr="00000000" w14:paraId="00000007">
      <w:pPr>
        <w:spacing w:after="80" w:before="0" w:line="246.99999999999994" w:lineRule="auto"/>
        <w:rPr/>
      </w:pPr>
      <w:r w:rsidDel="00000000" w:rsidR="00000000" w:rsidRPr="00000000">
        <w:rPr>
          <w:rtl w:val="0"/>
        </w:rPr>
        <w:t xml:space="preserve">This course examines copyright liability for generative artificial intelligence models. Professor Shyamkrishna Balganesh explains how large language models and diffusion models work at a level lawyers can use, then connects those technical facts to copyright's threshold requirements, fair use doctrine, output liability, substantial similarity, right-of-publicity issues, and emerging licensing markets. The central point is that AI copyright disputes cannot be answered by a slogan such as 'training is fair use' or 'copying is theft.' The legal analysis depends on the particular works, the way they were acquired, the copies made, the training use, the model's outputs, the relevant markets, the presence or absence of licenses, and the evidence developed in litigation.</w:t>
      </w:r>
    </w:p>
    <w:p w:rsidR="00000000" w:rsidDel="00000000" w:rsidP="00000000" w:rsidRDefault="00000000" w:rsidRPr="00000000" w14:paraId="00000008">
      <w:pPr>
        <w:spacing w:after="80" w:before="0" w:line="246.99999999999994" w:lineRule="auto"/>
        <w:rPr/>
      </w:pPr>
      <w:r w:rsidDel="00000000" w:rsidR="00000000" w:rsidRPr="00000000">
        <w:rPr>
          <w:rtl w:val="0"/>
        </w:rPr>
        <w:t xml:space="preserve">The interview emphasizes that generative AI systems are predictive models. They do not retrieve truth in the way a lawyer retrieves a statute or case from a database. They learn patterns from massive quantities of content and generate probable outputs. That technical reality matters because copyright law asks legally specific questions: Was there copying? Was the copied material a protected expression? Was the use excused by fair use? Does the output reproduce protected expressions or function as a market substitute? Who should bear responsibility when a system trained at scale produces something too close to a copyrighted work?</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Explain how LLMs and diffusion models ingest and process training material, including the role of local copies, tokenization, vectorization, noise, denoising, and model weights.</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Identify the copyright acts potentially implicated by AI development and deployment, including acquisition of source materials, creation of local copies, training copies, output generation, and distribution.</w:t>
      </w:r>
    </w:p>
    <w:p w:rsidR="00000000" w:rsidDel="00000000" w:rsidP="00000000" w:rsidRDefault="00000000" w:rsidRPr="00000000" w14:paraId="0000000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Apply the four fair use factors to AI training disputes, including transformative purpose, commerciality, amount copied, nature of the work, market substitution, and licensing-market evidence.</w:t>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Compare the major precedents discussed in the interview, including Campbell, Authors Guild v. Google, Andy Warhol Foundation v. Goldsmith, and current AI litigation involving text, images, music, legal research data, and news content.</w:t>
      </w:r>
    </w:p>
    <w:p w:rsidR="00000000" w:rsidDel="00000000" w:rsidP="00000000" w:rsidRDefault="00000000" w:rsidRPr="00000000" w14:paraId="000000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Analyze output-side risk, including memorization, regurgitation, substantial similarity, style versus expression, right of publicity, and the limits of technical guardrails.</w:t>
      </w:r>
    </w:p>
    <w:p w:rsidR="00000000" w:rsidDel="00000000" w:rsidP="00000000" w:rsidRDefault="00000000" w:rsidRPr="00000000" w14:paraId="000000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Evaluate licensing as a likely long-term market response, including collective licensing, data provenance, creator compensation, model governance, and human-AI collaboration.</w:t>
      </w:r>
    </w:p>
    <w:p w:rsidR="00000000" w:rsidDel="00000000" w:rsidP="00000000" w:rsidRDefault="00000000" w:rsidRPr="00000000" w14:paraId="0000000F">
      <w:pPr>
        <w:pStyle w:val="Heading1"/>
        <w:spacing w:after="80" w:before="0" w:line="246.99999999999994" w:lineRule="auto"/>
        <w:rPr/>
      </w:pPr>
      <w:r w:rsidDel="00000000" w:rsidR="00000000" w:rsidRPr="00000000">
        <w:rPr>
          <w:rtl w:val="0"/>
        </w:rPr>
        <w:t xml:space="preserve">2. How Generative Models Work: Technical Concepts for Copyright Lawyers</w:t>
      </w:r>
    </w:p>
    <w:p w:rsidR="00000000" w:rsidDel="00000000" w:rsidP="00000000" w:rsidRDefault="00000000" w:rsidRPr="00000000" w14:paraId="00000010">
      <w:pPr>
        <w:pStyle w:val="Heading2"/>
        <w:spacing w:after="80" w:before="0" w:line="246.99999999999994" w:lineRule="auto"/>
        <w:rPr/>
      </w:pPr>
      <w:r w:rsidDel="00000000" w:rsidR="00000000" w:rsidRPr="00000000">
        <w:rPr>
          <w:rtl w:val="0"/>
        </w:rPr>
        <w:t xml:space="preserve">2.1 Predictive models, not truth machines</w:t>
      </w:r>
    </w:p>
    <w:p w:rsidR="00000000" w:rsidDel="00000000" w:rsidP="00000000" w:rsidRDefault="00000000" w:rsidRPr="00000000" w14:paraId="00000011">
      <w:pPr>
        <w:spacing w:after="80" w:before="0" w:line="246.99999999999994" w:lineRule="auto"/>
        <w:rPr/>
      </w:pPr>
      <w:r w:rsidDel="00000000" w:rsidR="00000000" w:rsidRPr="00000000">
        <w:rPr>
          <w:rtl w:val="0"/>
        </w:rPr>
        <w:t xml:space="preserve">Professor Balganesh begins by describing LLMs as predictive models. When a user enters a prompt, the model predicts the kind of output the user is likely to want based on patterns learned during training. Familiar examples include autocomplete in Gmail, predictive text in messaging applications, or spelling and grammar suggestions in word processors. The difference is scale: modern LLMs use vastly more data, more parameters, and more computational power to generate sophisticated prose, code, summaries, and analysis.</w:t>
      </w:r>
    </w:p>
    <w:p w:rsidR="00000000" w:rsidDel="00000000" w:rsidP="00000000" w:rsidRDefault="00000000" w:rsidRPr="00000000" w14:paraId="00000012">
      <w:pPr>
        <w:spacing w:after="80" w:before="0" w:line="246.99999999999994" w:lineRule="auto"/>
        <w:rPr/>
      </w:pPr>
      <w:r w:rsidDel="00000000" w:rsidR="00000000" w:rsidRPr="00000000">
        <w:rPr>
          <w:rtl w:val="0"/>
        </w:rPr>
        <w:t xml:space="preserve">That framing matters for lawyers. A model output is not necessarily a statement of truth. It is the product of a prediction process. A model can sound persuasive while being wrong, and it can reproduce or closely approximate source material if the training process or prompt design makes that likely. Copyright disputes therefore focus less on whether a model is 'intelligent' and more on what material it copied, how it transformed or used that material, what outputs it can generate, and whether those outputs affect protected markets.</w:t>
      </w:r>
    </w:p>
    <w:p w:rsidR="00000000" w:rsidDel="00000000" w:rsidP="00000000" w:rsidRDefault="00000000" w:rsidRPr="00000000" w14:paraId="00000013">
      <w:pPr>
        <w:pStyle w:val="Heading2"/>
        <w:spacing w:after="80" w:before="0" w:line="246.99999999999994" w:lineRule="auto"/>
        <w:rPr/>
      </w:pPr>
      <w:r w:rsidDel="00000000" w:rsidR="00000000" w:rsidRPr="00000000">
        <w:rPr>
          <w:rtl w:val="0"/>
        </w:rPr>
        <w:t xml:space="preserve">2.2 Training data, ingestion, tokens, and vectors</w:t>
      </w:r>
    </w:p>
    <w:p w:rsidR="00000000" w:rsidDel="00000000" w:rsidP="00000000" w:rsidRDefault="00000000" w:rsidRPr="00000000" w14:paraId="00000014">
      <w:pPr>
        <w:spacing w:after="80" w:before="0" w:line="246.99999999999994" w:lineRule="auto"/>
        <w:rPr/>
      </w:pPr>
      <w:r w:rsidDel="00000000" w:rsidR="00000000" w:rsidRPr="00000000">
        <w:rPr>
          <w:rtl w:val="0"/>
        </w:rPr>
        <w:t xml:space="preserve">The training process begins with data acquisition and ingestion. Training sets may include public-domain material, licensed material, scraped internet content, books, news articles, software, images, audio, metadata, and other works. The interview stresses a key copyright point: a work that is publicly available online is not necessarily free to copy. Public availability is not the same as copyright permission.</w:t>
      </w:r>
    </w:p>
    <w:p w:rsidR="00000000" w:rsidDel="00000000" w:rsidP="00000000" w:rsidRDefault="00000000" w:rsidRPr="00000000" w14:paraId="00000015">
      <w:pPr>
        <w:spacing w:after="80" w:before="0" w:line="246.99999999999994" w:lineRule="auto"/>
        <w:rPr/>
      </w:pPr>
      <w:r w:rsidDel="00000000" w:rsidR="00000000" w:rsidRPr="00000000">
        <w:rPr>
          <w:rtl w:val="0"/>
        </w:rPr>
        <w:t xml:space="preserve">For LLMs, ingested text is broken into smaller units often described as tokens. Tokens may be words, parts of words, punctuation, or other units. The model then represents relationships among tokens mathematically, commonly through high-dimensional vectors and learned weights. Lawyers do not need to master the full mathematics, but they do need to understand the legal significance: the model developer usually needs to process complete works at scale, and that processing often requires copies that may trigger the copyright owner's reproduction right before any fair use defense is considered.</w:t>
      </w:r>
    </w:p>
    <w:p w:rsidR="00000000" w:rsidDel="00000000" w:rsidP="00000000" w:rsidRDefault="00000000" w:rsidRPr="00000000" w14:paraId="0000001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Ingestion is the process by which a model developer obtains and processes source material for training.</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Tokenization divides text into model-readable units.</w:t>
      </w:r>
    </w:p>
    <w:p w:rsidR="00000000" w:rsidDel="00000000" w:rsidP="00000000" w:rsidRDefault="00000000" w:rsidRPr="00000000" w14:paraId="0000001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Vectorization represents information numerically so that relationships and patterns can be learned.</w:t>
      </w:r>
    </w:p>
    <w:p w:rsidR="00000000" w:rsidDel="00000000" w:rsidP="00000000" w:rsidRDefault="00000000" w:rsidRPr="00000000" w14:paraId="0000001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Weights are the model parameters adjusted during training; they are not ordinary copies of books or songs, but they may reflect patterns learned from them.</w:t>
      </w:r>
    </w:p>
    <w:p w:rsidR="00000000" w:rsidDel="00000000" w:rsidP="00000000" w:rsidRDefault="00000000" w:rsidRPr="00000000" w14:paraId="0000001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The legal question is not whether the model thinks or learns like a person, but whether legally cognizable copies were made and whether the resulting use is excused or infringing.</w:t>
      </w:r>
    </w:p>
    <w:p w:rsidR="00000000" w:rsidDel="00000000" w:rsidP="00000000" w:rsidRDefault="00000000" w:rsidRPr="00000000" w14:paraId="0000001B">
      <w:pPr>
        <w:pStyle w:val="Heading2"/>
        <w:spacing w:after="80" w:before="0" w:line="246.99999999999994" w:lineRule="auto"/>
        <w:rPr/>
      </w:pPr>
      <w:r w:rsidDel="00000000" w:rsidR="00000000" w:rsidRPr="00000000">
        <w:rPr>
          <w:rtl w:val="0"/>
        </w:rPr>
        <w:t xml:space="preserve">2.3 Diffusion models and image generation</w:t>
      </w:r>
    </w:p>
    <w:p w:rsidR="00000000" w:rsidDel="00000000" w:rsidP="00000000" w:rsidRDefault="00000000" w:rsidRPr="00000000" w14:paraId="0000001C">
      <w:pPr>
        <w:spacing w:after="80" w:before="0" w:line="246.99999999999994" w:lineRule="auto"/>
        <w:rPr/>
      </w:pPr>
      <w:r w:rsidDel="00000000" w:rsidR="00000000" w:rsidRPr="00000000">
        <w:rPr>
          <w:rtl w:val="0"/>
        </w:rPr>
        <w:t xml:space="preserve">The interview also explains diffusion models, which are commonly used for image generation. A diffusion model is trained by adding noise to images and learning how to remove that noise to reconstruct images or generate new images from prompts. The process is still predictive, but the technical pathway differs from LLM tokenization. The model learns relationships among visual features, text labels, styles, and image patterns.</w:t>
      </w:r>
    </w:p>
    <w:p w:rsidR="00000000" w:rsidDel="00000000" w:rsidP="00000000" w:rsidRDefault="00000000" w:rsidRPr="00000000" w14:paraId="0000001D">
      <w:pPr>
        <w:spacing w:after="80" w:before="0" w:line="246.99999999999994" w:lineRule="auto"/>
        <w:rPr/>
      </w:pPr>
      <w:r w:rsidDel="00000000" w:rsidR="00000000" w:rsidRPr="00000000">
        <w:rPr>
          <w:rtl w:val="0"/>
        </w:rPr>
        <w:t xml:space="preserve">Copyright issues arise at both the input and output stages. At the input stage, the developer may have copied photographs, illustrations, artwork, captions, metadata, watermarks, or other protected material. At the output stage, the system may generate images that resemble works in the training data or reproduce elements such as watermarks. This is why image cases often combine training-copying theories with output-focused evidence.</w:t>
      </w:r>
    </w:p>
    <w:p w:rsidR="00000000" w:rsidDel="00000000" w:rsidP="00000000" w:rsidRDefault="00000000" w:rsidRPr="00000000" w14:paraId="0000001E">
      <w:pPr>
        <w:pStyle w:val="Heading2"/>
        <w:spacing w:after="80" w:before="0" w:line="246.99999999999994" w:lineRule="auto"/>
        <w:rPr/>
      </w:pPr>
      <w:r w:rsidDel="00000000" w:rsidR="00000000" w:rsidRPr="00000000">
        <w:rPr>
          <w:rtl w:val="0"/>
        </w:rPr>
        <w:t xml:space="preserve">2.4 Local copying and why it matters</w:t>
      </w:r>
    </w:p>
    <w:p w:rsidR="00000000" w:rsidDel="00000000" w:rsidP="00000000" w:rsidRDefault="00000000" w:rsidRPr="00000000" w14:paraId="0000001F">
      <w:pPr>
        <w:spacing w:after="80" w:before="0" w:line="246.99999999999994" w:lineRule="auto"/>
        <w:rPr/>
      </w:pPr>
      <w:r w:rsidDel="00000000" w:rsidR="00000000" w:rsidRPr="00000000">
        <w:rPr>
          <w:rtl w:val="0"/>
        </w:rPr>
        <w:t xml:space="preserve">A recurring point in the interview is local copying. AI companies may create local copies of works to process them efficiently, reduce latency, tokenize data, create datasets, or build internal libraries. Professor Balganesh emphasizes that private or internal copies still may count as copies under copyright law. The copy does not need to be publicly distributed to implicate the reproduction right. The fact that a copy is kept on a server, used internally, or later deleted may matter to fair use, damages, market harm, or remedies, but it does not necessarily eliminate the threshold issue of copying.</w:t>
      </w:r>
    </w:p>
    <w:p w:rsidR="00000000" w:rsidDel="00000000" w:rsidP="00000000" w:rsidRDefault="00000000" w:rsidRPr="00000000" w14:paraId="00000020">
      <w:pPr>
        <w:spacing w:after="80" w:before="0" w:line="246.99999999999994" w:lineRule="auto"/>
        <w:rPr/>
      </w:pPr>
      <w:r w:rsidDel="00000000" w:rsidR="00000000" w:rsidRPr="00000000">
        <w:rPr>
          <w:rtl w:val="0"/>
        </w:rPr>
        <w:t xml:space="preserve">That is why the litigation often proceeds in two stages. First, the plaintiff must show that protected works were copied or otherwise used in a way that implicates copyright. Second, the defendant may argue that the copying was excused as fair use. Fair use is a defense; it does not mean no copy was made.</w:t>
      </w:r>
    </w:p>
    <w:p w:rsidR="00000000" w:rsidDel="00000000" w:rsidP="00000000" w:rsidRDefault="00000000" w:rsidRPr="00000000" w14:paraId="00000021">
      <w:pPr>
        <w:pStyle w:val="Heading1"/>
        <w:spacing w:after="80" w:before="0" w:line="246.99999999999994" w:lineRule="auto"/>
        <w:rPr/>
      </w:pPr>
      <w:r w:rsidDel="00000000" w:rsidR="00000000" w:rsidRPr="00000000">
        <w:rPr>
          <w:rtl w:val="0"/>
        </w:rPr>
        <w:t xml:space="preserve">3. Fair Use Framework</w:t>
      </w:r>
    </w:p>
    <w:p w:rsidR="00000000" w:rsidDel="00000000" w:rsidP="00000000" w:rsidRDefault="00000000" w:rsidRPr="00000000" w14:paraId="00000022">
      <w:pPr>
        <w:spacing w:after="80" w:before="0" w:line="246.99999999999994" w:lineRule="auto"/>
        <w:rPr/>
      </w:pPr>
      <w:r w:rsidDel="00000000" w:rsidR="00000000" w:rsidRPr="00000000">
        <w:rPr>
          <w:rtl w:val="0"/>
        </w:rPr>
        <w:t xml:space="preserve">Fair use is codified in Section 107 of the Copyright Act. It permits certain uses of copyrighted material without permission, but it is a flexible, fact-intensive doctrine rather than a bright-line rule. The four statutory factors are:</w:t>
      </w:r>
    </w:p>
    <w:p w:rsidR="00000000" w:rsidDel="00000000" w:rsidP="00000000" w:rsidRDefault="00000000" w:rsidRPr="00000000" w14:paraId="0000002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The purpose and character of the use, including whether the use is commercial or for nonprofit educational purposes.</w:t>
      </w:r>
    </w:p>
    <w:p w:rsidR="00000000" w:rsidDel="00000000" w:rsidP="00000000" w:rsidRDefault="00000000" w:rsidRPr="00000000" w14:paraId="0000002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The nature of the copyrighted work.</w:t>
      </w:r>
    </w:p>
    <w:p w:rsidR="00000000" w:rsidDel="00000000" w:rsidP="00000000" w:rsidRDefault="00000000" w:rsidRPr="00000000" w14:paraId="0000002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The amount and substantiality of the portion used in relation to the copyrighted work as a whole.</w:t>
      </w:r>
    </w:p>
    <w:p w:rsidR="00000000" w:rsidDel="00000000" w:rsidP="00000000" w:rsidRDefault="00000000" w:rsidRPr="00000000" w14:paraId="000000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The effect of the use on the potential market for or value of the copyrighted work.</w:t>
      </w:r>
    </w:p>
    <w:p w:rsidR="00000000" w:rsidDel="00000000" w:rsidP="00000000" w:rsidRDefault="00000000" w:rsidRPr="00000000" w14:paraId="00000027">
      <w:pPr>
        <w:spacing w:after="80" w:before="0" w:line="246.99999999999994" w:lineRule="auto"/>
        <w:rPr/>
      </w:pPr>
      <w:r w:rsidDel="00000000" w:rsidR="00000000" w:rsidRPr="00000000">
        <w:rPr>
          <w:rtl w:val="0"/>
        </w:rPr>
        <w:t xml:space="preserve">The interview stresses that the factors are not mechanical boxes. Courts weigh them together in light of copyright's purposes. In AI cases, the first and fourth factors often dominate: whether training is transformative and whether the use harms or threatens markets for the original works, derivative works, licensing data, or outputs that compete with human-authored works.</w:t>
      </w:r>
    </w:p>
    <w:p w:rsidR="00000000" w:rsidDel="00000000" w:rsidP="00000000" w:rsidRDefault="00000000" w:rsidRPr="00000000" w14:paraId="00000028">
      <w:pPr>
        <w:pStyle w:val="Heading2"/>
        <w:spacing w:after="80" w:before="0" w:line="246.99999999999994" w:lineRule="auto"/>
        <w:rPr/>
      </w:pPr>
      <w:r w:rsidDel="00000000" w:rsidR="00000000" w:rsidRPr="00000000">
        <w:rPr>
          <w:rtl w:val="0"/>
        </w:rPr>
        <w:t xml:space="preserve">3.1 Transformative use after Campbell</w:t>
      </w:r>
    </w:p>
    <w:p w:rsidR="00000000" w:rsidDel="00000000" w:rsidP="00000000" w:rsidRDefault="00000000" w:rsidRPr="00000000" w14:paraId="00000029">
      <w:pPr>
        <w:spacing w:after="80" w:before="0" w:line="246.99999999999994" w:lineRule="auto"/>
        <w:rPr/>
      </w:pPr>
      <w:r w:rsidDel="00000000" w:rsidR="00000000" w:rsidRPr="00000000">
        <w:rPr>
          <w:rtl w:val="0"/>
        </w:rPr>
        <w:t xml:space="preserve">Professor Balganesh places modern AI fair use arguments in the lineage of Campbell v. Acuff-Rose Music, Inc. In Campbell, 2 Live Crew's parody of Roy Orbison's 'Oh, Pretty Woman' was treated as having a transformative purpose because parody comments on or critiques the original. But the interview highlights an often-forgotten part of Campbell: transformative purpose does not end the fair use analysis. Courts still must consider amount taken, nature of the work, and market effect, including the market for derivative uses.</w:t>
      </w:r>
    </w:p>
    <w:p w:rsidR="00000000" w:rsidDel="00000000" w:rsidP="00000000" w:rsidRDefault="00000000" w:rsidRPr="00000000" w14:paraId="0000002A">
      <w:pPr>
        <w:spacing w:after="80" w:before="0" w:line="246.99999999999994" w:lineRule="auto"/>
        <w:rPr/>
      </w:pPr>
      <w:r w:rsidDel="00000000" w:rsidR="00000000" w:rsidRPr="00000000">
        <w:rPr>
          <w:rtl w:val="0"/>
        </w:rPr>
        <w:t xml:space="preserve">AI companies often describe model training as transformative because the system does not simply publish a copy of the book, article, image, or song; instead it uses the work to build a statistical model capable of generating new outputs. Plaintiffs respond that this framing can be too broad: if copying entire works to create a commercial substitute or adjacent product is automatically transformative, copyright owners may lose meaningful control over economically valuable uses of their works.</w:t>
      </w:r>
    </w:p>
    <w:p w:rsidR="00000000" w:rsidDel="00000000" w:rsidP="00000000" w:rsidRDefault="00000000" w:rsidRPr="00000000" w14:paraId="0000002B">
      <w:pPr>
        <w:pStyle w:val="Heading2"/>
        <w:spacing w:after="80" w:before="0" w:line="246.99999999999994" w:lineRule="auto"/>
        <w:rPr/>
      </w:pPr>
      <w:r w:rsidDel="00000000" w:rsidR="00000000" w:rsidRPr="00000000">
        <w:rPr>
          <w:rtl w:val="0"/>
        </w:rPr>
        <w:t xml:space="preserve">3.2 Authors Guild v. Google and mass digitization</w:t>
      </w:r>
    </w:p>
    <w:p w:rsidR="00000000" w:rsidDel="00000000" w:rsidP="00000000" w:rsidRDefault="00000000" w:rsidRPr="00000000" w14:paraId="0000002C">
      <w:pPr>
        <w:spacing w:after="80" w:before="0" w:line="246.99999999999994" w:lineRule="auto"/>
        <w:rPr/>
      </w:pPr>
      <w:r w:rsidDel="00000000" w:rsidR="00000000" w:rsidRPr="00000000">
        <w:rPr>
          <w:rtl w:val="0"/>
        </w:rPr>
        <w:t xml:space="preserve">The interview identifies Authors Guild v. Google as the case AI defendants frequently invoke. Google scanned millions of books from libraries, created a searchable database, and displayed limited snippets rather than full works. The Second Circuit found fair use because Google's system served a different purpose from reading the books, improved search and research, and did not substitute for the originals. Professor Balganesh notes that the copying was not disputed; the legal question was whether the copying was fair.</w:t>
      </w:r>
    </w:p>
    <w:p w:rsidR="00000000" w:rsidDel="00000000" w:rsidP="00000000" w:rsidRDefault="00000000" w:rsidRPr="00000000" w14:paraId="0000002D">
      <w:pPr>
        <w:spacing w:after="80" w:before="0" w:line="246.99999999999994" w:lineRule="auto"/>
        <w:rPr/>
      </w:pPr>
      <w:r w:rsidDel="00000000" w:rsidR="00000000" w:rsidRPr="00000000">
        <w:rPr>
          <w:rtl w:val="0"/>
        </w:rPr>
        <w:t xml:space="preserve">The analogy to AI training is powerful but imperfect. Google Books made books searchable and showed limited snippets. Generative AI systems may do something more open-ended: they can generate new text, images, music, or other outputs that may compete with creators. The stronger the output substitution or market-harm evidence, the less helpful the Google Books analogy may become.</w:t>
      </w:r>
    </w:p>
    <w:p w:rsidR="00000000" w:rsidDel="00000000" w:rsidP="00000000" w:rsidRDefault="00000000" w:rsidRPr="00000000" w14:paraId="0000002E">
      <w:pPr>
        <w:pStyle w:val="Heading2"/>
        <w:spacing w:after="80" w:before="0" w:line="246.99999999999994" w:lineRule="auto"/>
        <w:rPr/>
      </w:pPr>
      <w:r w:rsidDel="00000000" w:rsidR="00000000" w:rsidRPr="00000000">
        <w:rPr>
          <w:rtl w:val="0"/>
        </w:rPr>
        <w:t xml:space="preserve">3.3 Warhol and the limits of transformative use</w:t>
      </w:r>
    </w:p>
    <w:p w:rsidR="00000000" w:rsidDel="00000000" w:rsidP="00000000" w:rsidRDefault="00000000" w:rsidRPr="00000000" w14:paraId="0000002F">
      <w:pPr>
        <w:spacing w:after="80" w:before="0" w:line="246.99999999999994" w:lineRule="auto"/>
        <w:rPr/>
      </w:pPr>
      <w:r w:rsidDel="00000000" w:rsidR="00000000" w:rsidRPr="00000000">
        <w:rPr>
          <w:rtl w:val="0"/>
        </w:rPr>
        <w:t xml:space="preserve">The Supreme Court's decision in Andy Warhol Foundation for the Visual Arts, Inc. v. Goldsmith is central to the interview. Warhol clarified that transformative use is not a free pass. Courts must examine the specific use at issue, including its commercial context and relationship to the original. Warhol's licensing of a Prince image for a magazine commemorative issue was not treated as fair use because it served a substantially similar commercial licensing purpose to Lynn Goldsmith's photograph.</w:t>
      </w:r>
    </w:p>
    <w:p w:rsidR="00000000" w:rsidDel="00000000" w:rsidP="00000000" w:rsidRDefault="00000000" w:rsidRPr="00000000" w14:paraId="00000030">
      <w:pPr>
        <w:spacing w:after="80" w:before="0" w:line="246.99999999999994" w:lineRule="auto"/>
        <w:rPr/>
      </w:pPr>
      <w:r w:rsidDel="00000000" w:rsidR="00000000" w:rsidRPr="00000000">
        <w:rPr>
          <w:rtl w:val="0"/>
        </w:rPr>
        <w:t xml:space="preserve">For AI cases, Warhol matters because many model developers are commercial enterprises. Commerciality is not dispositive, but it must be weighed. A court may ask whether the AI use has a sufficiently different purpose, whether it substitutes for the original or a licensing market, and whether the defendant is using the work in a market the copyright owner reasonably could exploit.</w:t>
      </w:r>
    </w:p>
    <w:p w:rsidR="00000000" w:rsidDel="00000000" w:rsidP="00000000" w:rsidRDefault="00000000" w:rsidRPr="00000000" w14:paraId="00000031">
      <w:pPr>
        <w:pStyle w:val="Heading1"/>
        <w:spacing w:after="80" w:before="0" w:line="246.99999999999994" w:lineRule="auto"/>
        <w:rPr/>
      </w:pPr>
      <w:r w:rsidDel="00000000" w:rsidR="00000000" w:rsidRPr="00000000">
        <w:rPr>
          <w:rtl w:val="0"/>
        </w:rPr>
        <w:t xml:space="preserve">4. Copyright Claims in AI Model Development</w:t>
      </w:r>
    </w:p>
    <w:p w:rsidR="00000000" w:rsidDel="00000000" w:rsidP="00000000" w:rsidRDefault="00000000" w:rsidRPr="00000000" w14:paraId="00000032">
      <w:pPr>
        <w:pStyle w:val="Heading2"/>
        <w:spacing w:after="80" w:before="0" w:line="246.99999999999994" w:lineRule="auto"/>
        <w:rPr/>
      </w:pPr>
      <w:r w:rsidDel="00000000" w:rsidR="00000000" w:rsidRPr="00000000">
        <w:rPr>
          <w:rtl w:val="0"/>
        </w:rPr>
        <w:t xml:space="preserve">4.1 Input-side claims</w:t>
      </w:r>
    </w:p>
    <w:p w:rsidR="00000000" w:rsidDel="00000000" w:rsidP="00000000" w:rsidRDefault="00000000" w:rsidRPr="00000000" w14:paraId="00000033">
      <w:pPr>
        <w:spacing w:after="80" w:before="0" w:line="246.99999999999994" w:lineRule="auto"/>
        <w:rPr/>
      </w:pPr>
      <w:r w:rsidDel="00000000" w:rsidR="00000000" w:rsidRPr="00000000">
        <w:rPr>
          <w:rtl w:val="0"/>
        </w:rPr>
        <w:t xml:space="preserve">Input-side claims focus on the training process: how the developer acquired works, whether it copied them, whether the copies were licensed, whether they came from lawful sources, and whether internal processing required reproductions. These claims often involve discovery disputes because AI companies may treat training data as confidential, proprietary, or competitively sensitive. Plaintiffs may need to infer copying from outputs, public statements, leaked datasets, similarity evidence, vendor contracts, or metadata.</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Acquisition: Did the developer buy, license, scrape, borrow, or download the works?</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Source legitimacy: Were the works obtained from lawful sources or pirate libraries?</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Copying: Were full copies made locally for tokenization, denoising, indexing, or storage?</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Purpose: Were the copies used only for model training, or also kept as a permanent internal library?</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Transparency: Can the developer identify the datasets, dates, sources, and works used?</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Market effect: Is there an actual or potential licensing market for this kind of use?</w:t>
      </w:r>
    </w:p>
    <w:p w:rsidR="00000000" w:rsidDel="00000000" w:rsidP="00000000" w:rsidRDefault="00000000" w:rsidRPr="00000000" w14:paraId="0000003A">
      <w:pPr>
        <w:pStyle w:val="Heading2"/>
        <w:spacing w:after="80" w:before="0" w:line="246.99999999999994" w:lineRule="auto"/>
        <w:rPr/>
      </w:pPr>
      <w:r w:rsidDel="00000000" w:rsidR="00000000" w:rsidRPr="00000000">
        <w:rPr>
          <w:rtl w:val="0"/>
        </w:rPr>
        <w:t xml:space="preserve">4.2 Output-side claims</w:t>
      </w:r>
    </w:p>
    <w:p w:rsidR="00000000" w:rsidDel="00000000" w:rsidP="00000000" w:rsidRDefault="00000000" w:rsidRPr="00000000" w14:paraId="0000003B">
      <w:pPr>
        <w:spacing w:after="80" w:before="0" w:line="246.99999999999994" w:lineRule="auto"/>
        <w:rPr/>
      </w:pPr>
      <w:r w:rsidDel="00000000" w:rsidR="00000000" w:rsidRPr="00000000">
        <w:rPr>
          <w:rtl w:val="0"/>
        </w:rPr>
        <w:t xml:space="preserve">Output-side claims ask what the model produces. A model may be trained on copyrighted works but produce outputs that are not substantially similar to any protected work. Alternatively, a model may regurgitate copyrighted text, produce an image with a watermark, imitate a sound recording too closely, or generate material that substitutes for a protected work. The interview treats output risk as related to, but distinct from, input copying. A plaintiff may allege both that the developer copied works during training and that the deployed model creates infringing outputs.</w:t>
      </w:r>
    </w:p>
    <w:p w:rsidR="00000000" w:rsidDel="00000000" w:rsidP="00000000" w:rsidRDefault="00000000" w:rsidRPr="00000000" w14:paraId="0000003C">
      <w:pPr>
        <w:spacing w:after="80" w:before="0" w:line="246.99999999999994" w:lineRule="auto"/>
        <w:rPr/>
      </w:pPr>
      <w:r w:rsidDel="00000000" w:rsidR="00000000" w:rsidRPr="00000000">
        <w:rPr>
          <w:rtl w:val="0"/>
        </w:rPr>
        <w:t xml:space="preserve">New York Times v. OpenAI illustrates the importance of output evidence. The Times complaint included examples in which prompts allegedly caused GPT-4 to reproduce or closely approximate Times articles. Professor Balganesh highlights Appendix J as significant because it links the input question to the output question: if a system can reproduce an article in close detail, it may support an inference that the article was in the training data and may also show market substitution risk.</w:t>
      </w:r>
    </w:p>
    <w:p w:rsidR="00000000" w:rsidDel="00000000" w:rsidP="00000000" w:rsidRDefault="00000000" w:rsidRPr="00000000" w14:paraId="0000003D">
      <w:pPr>
        <w:pStyle w:val="Heading2"/>
        <w:spacing w:after="80" w:before="0" w:line="246.99999999999994" w:lineRule="auto"/>
        <w:rPr/>
      </w:pPr>
      <w:r w:rsidDel="00000000" w:rsidR="00000000" w:rsidRPr="00000000">
        <w:rPr>
          <w:rtl w:val="0"/>
        </w:rPr>
        <w:t xml:space="preserve">4.3 Data transparency and proof problems</w:t>
      </w:r>
    </w:p>
    <w:p w:rsidR="00000000" w:rsidDel="00000000" w:rsidP="00000000" w:rsidRDefault="00000000" w:rsidRPr="00000000" w14:paraId="0000003E">
      <w:pPr>
        <w:spacing w:after="80" w:before="0" w:line="246.99999999999994" w:lineRule="auto"/>
        <w:rPr/>
      </w:pPr>
      <w:r w:rsidDel="00000000" w:rsidR="00000000" w:rsidRPr="00000000">
        <w:rPr>
          <w:rtl w:val="0"/>
        </w:rPr>
        <w:t xml:space="preserve">The interview notes that early AI developers were often more open about their training data. As litigation risk grew, disclosures became more guarded. That creates proof problems. Plaintiffs want to know whether their works were used; defendants may argue that training data, curation methods, and model architecture are trade secrets. This tension has moved beyond litigation into policy. California's Generative Artificial Intelligence: Training Data Transparency Act took effect in 2026 and requires covered developers to publish high-level summaries of training datasets, including information about data sources, data volume, data types, whether copyrighted material is included, and whether datasets were purchased or licensed.</w:t>
      </w:r>
    </w:p>
    <w:p w:rsidR="00000000" w:rsidDel="00000000" w:rsidP="00000000" w:rsidRDefault="00000000" w:rsidRPr="00000000" w14:paraId="0000003F">
      <w:pPr>
        <w:pStyle w:val="Heading1"/>
        <w:spacing w:after="80" w:before="0" w:line="246.99999999999994" w:lineRule="auto"/>
        <w:rPr/>
      </w:pPr>
      <w:r w:rsidDel="00000000" w:rsidR="00000000" w:rsidRPr="00000000">
        <w:rPr>
          <w:rtl w:val="0"/>
        </w:rPr>
        <w:t xml:space="preserve">5. Current Litigation and Policy Map</w:t>
      </w:r>
    </w:p>
    <w:p w:rsidR="00000000" w:rsidDel="00000000" w:rsidP="00000000" w:rsidRDefault="00000000" w:rsidRPr="00000000" w14:paraId="00000040">
      <w:pPr>
        <w:spacing w:after="80" w:before="0" w:line="246.99999999999994" w:lineRule="auto"/>
        <w:rPr/>
      </w:pPr>
      <w:r w:rsidDel="00000000" w:rsidR="00000000" w:rsidRPr="00000000">
        <w:rPr>
          <w:rtl w:val="0"/>
        </w:rPr>
        <w:t xml:space="preserve">AI copyright law is developing through multiple categories of cases. The current landscape is highly fact-specific. Courts have not adopted a universal rule that all AI training is fair use or that all AI training is infringement.</w:t>
      </w:r>
    </w:p>
    <w:p w:rsidR="00000000" w:rsidDel="00000000" w:rsidP="00000000" w:rsidRDefault="00000000" w:rsidRPr="00000000" w14:paraId="00000041">
      <w:pPr>
        <w:pStyle w:val="Heading2"/>
        <w:spacing w:after="80" w:before="0" w:line="246.99999999999994" w:lineRule="auto"/>
        <w:rPr/>
      </w:pPr>
      <w:r w:rsidDel="00000000" w:rsidR="00000000" w:rsidRPr="00000000">
        <w:rPr>
          <w:rtl w:val="0"/>
        </w:rPr>
        <w:t xml:space="preserve">5.1 Thomson Reuters v. ROSS Intelligence</w:t>
      </w:r>
    </w:p>
    <w:p w:rsidR="00000000" w:rsidDel="00000000" w:rsidP="00000000" w:rsidRDefault="00000000" w:rsidRPr="00000000" w14:paraId="00000042">
      <w:pPr>
        <w:spacing w:after="80" w:before="0" w:line="246.99999999999994" w:lineRule="auto"/>
        <w:rPr/>
      </w:pPr>
      <w:r w:rsidDel="00000000" w:rsidR="00000000" w:rsidRPr="00000000">
        <w:rPr>
          <w:rtl w:val="0"/>
        </w:rPr>
        <w:t xml:space="preserve">In Thomson Reuters Enterprise Centre GmbH v. ROSS Intelligence Inc., a Delaware federal court rejected fair use in an AI-related legal research dispute. ROSS allegedly used Westlaw headnotes, through third-party training materials, to develop a competing legal research tool. The court treated the use as commercial and non-transformative in the relevant sense because ROSS used the material to build a substitute legal research product. The case is not a generative AI case, but it is important because it shows that training an AI-related system on copyrighted legal content can fail fair use when the defendant's product competes with the copyright owner's market.</w:t>
      </w:r>
    </w:p>
    <w:p w:rsidR="00000000" w:rsidDel="00000000" w:rsidP="00000000" w:rsidRDefault="00000000" w:rsidRPr="00000000" w14:paraId="00000043">
      <w:pPr>
        <w:pStyle w:val="Heading2"/>
        <w:spacing w:after="80" w:before="0" w:line="246.99999999999994" w:lineRule="auto"/>
        <w:rPr/>
      </w:pPr>
      <w:r w:rsidDel="00000000" w:rsidR="00000000" w:rsidRPr="00000000">
        <w:rPr>
          <w:rtl w:val="0"/>
        </w:rPr>
        <w:t xml:space="preserve">5.2 Bartz v. Anthropic</w:t>
      </w:r>
    </w:p>
    <w:p w:rsidR="00000000" w:rsidDel="00000000" w:rsidP="00000000" w:rsidRDefault="00000000" w:rsidRPr="00000000" w14:paraId="00000044">
      <w:pPr>
        <w:spacing w:after="80" w:before="0" w:line="246.99999999999994" w:lineRule="auto"/>
        <w:rPr/>
      </w:pPr>
      <w:r w:rsidDel="00000000" w:rsidR="00000000" w:rsidRPr="00000000">
        <w:rPr>
          <w:rtl w:val="0"/>
        </w:rPr>
        <w:t xml:space="preserve">Bartz v. Anthropic produced one of the first major judicial rulings addressing LLM training. The court held that using books to train Claude was fair use on the summary-judgment record and that converting lawfully purchased print books into searchable digital copies could also be fair use. But the court distinguished those uses from Anthropic's alleged acquisition and retention of millions of pirated books for a central library. The case later produced a $1.5 billion settlement approved in 2026, described by Reuters as the largest known U.S. copyright settlement. For lawyers, the lesson is that 'training use' and 'source acquisition' may be analyzed separately.</w:t>
      </w:r>
    </w:p>
    <w:p w:rsidR="00000000" w:rsidDel="00000000" w:rsidP="00000000" w:rsidRDefault="00000000" w:rsidRPr="00000000" w14:paraId="00000045">
      <w:pPr>
        <w:pStyle w:val="Heading2"/>
        <w:spacing w:after="80" w:before="0" w:line="246.99999999999994" w:lineRule="auto"/>
        <w:rPr/>
      </w:pPr>
      <w:r w:rsidDel="00000000" w:rsidR="00000000" w:rsidRPr="00000000">
        <w:rPr>
          <w:rtl w:val="0"/>
        </w:rPr>
        <w:t xml:space="preserve">5.3 Kadrey v. Meta</w:t>
      </w:r>
    </w:p>
    <w:p w:rsidR="00000000" w:rsidDel="00000000" w:rsidP="00000000" w:rsidRDefault="00000000" w:rsidRPr="00000000" w14:paraId="00000046">
      <w:pPr>
        <w:spacing w:after="80" w:before="0" w:line="246.99999999999994" w:lineRule="auto"/>
        <w:rPr/>
      </w:pPr>
      <w:r w:rsidDel="00000000" w:rsidR="00000000" w:rsidRPr="00000000">
        <w:rPr>
          <w:rtl w:val="0"/>
        </w:rPr>
        <w:t xml:space="preserve">Kadrey v. Meta also addressed book-based LLM training. The court granted Meta summary judgment on fair use for the training claim, but the opinion and later procedural orders emphasize the limits of the ruling. Meta won on the record presented because the named plaintiffs failed to marshal meaningful market-harm evidence. The court did not hold that copying protected works to train AI is always fair use. The case underscores the importance of factor-four evidence: market dilution, substitution, licensing markets, and empirical proof.</w:t>
      </w:r>
    </w:p>
    <w:p w:rsidR="00000000" w:rsidDel="00000000" w:rsidP="00000000" w:rsidRDefault="00000000" w:rsidRPr="00000000" w14:paraId="00000047">
      <w:pPr>
        <w:pStyle w:val="Heading2"/>
        <w:spacing w:after="80" w:before="0" w:line="246.99999999999994" w:lineRule="auto"/>
        <w:rPr/>
      </w:pPr>
      <w:r w:rsidDel="00000000" w:rsidR="00000000" w:rsidRPr="00000000">
        <w:rPr>
          <w:rtl w:val="0"/>
        </w:rPr>
        <w:t xml:space="preserve">5.4 New York Times v. OpenAI and Microsoft</w:t>
      </w:r>
    </w:p>
    <w:p w:rsidR="00000000" w:rsidDel="00000000" w:rsidP="00000000" w:rsidRDefault="00000000" w:rsidRPr="00000000" w14:paraId="00000048">
      <w:pPr>
        <w:spacing w:after="80" w:before="0" w:line="246.99999999999994" w:lineRule="auto"/>
        <w:rPr/>
      </w:pPr>
      <w:r w:rsidDel="00000000" w:rsidR="00000000" w:rsidRPr="00000000">
        <w:rPr>
          <w:rtl w:val="0"/>
        </w:rPr>
        <w:t xml:space="preserve">The New York Times case remains a bellwether because it involves journalism, paywalls, subscriptions, licensing negotiations, and alleged output reproduction. The interview notes that the dispute arose after licensing negotiations failed, making the existence and scope of a licensing market especially important. As of September 2026, the U.S. government had filed a brief supporting OpenAI's fair use position in the case, while the Times continued to argue that AI companies should pay for the journalistic works that make their systems valuable. The case tests whether news content is meaningfully different from books, images, or other works because of timeliness, paywall substitution, and the economic fragility of journalism.</w:t>
      </w:r>
    </w:p>
    <w:p w:rsidR="00000000" w:rsidDel="00000000" w:rsidP="00000000" w:rsidRDefault="00000000" w:rsidRPr="00000000" w14:paraId="00000049">
      <w:pPr>
        <w:pStyle w:val="Heading2"/>
        <w:spacing w:after="80" w:before="0" w:line="246.99999999999994" w:lineRule="auto"/>
        <w:rPr/>
      </w:pPr>
      <w:r w:rsidDel="00000000" w:rsidR="00000000" w:rsidRPr="00000000">
        <w:rPr>
          <w:rtl w:val="0"/>
        </w:rPr>
        <w:t xml:space="preserve">5.5 Getty Images v. Stability AI</w:t>
      </w:r>
    </w:p>
    <w:p w:rsidR="00000000" w:rsidDel="00000000" w:rsidP="00000000" w:rsidRDefault="00000000" w:rsidRPr="00000000" w14:paraId="0000004A">
      <w:pPr>
        <w:spacing w:after="80" w:before="0" w:line="246.99999999999994" w:lineRule="auto"/>
        <w:rPr/>
      </w:pPr>
      <w:r w:rsidDel="00000000" w:rsidR="00000000" w:rsidRPr="00000000">
        <w:rPr>
          <w:rtl w:val="0"/>
        </w:rPr>
        <w:t xml:space="preserve">Getty Images v. Stability AI represents the image-generation branch of the litigation. The interview emphasizes alleged 'smoking gun' output evidence, including images that appeared to include Getty-style watermarks. Image cases often place pressure on both sides of the fair use analysis: the developer argues that training is transformative, while the plaintiff points to outputs that resemble protected works or interfere with markets for licensed images. The UK litigation also illustrates jurisdictional complexity, because the place of training, the place of deployment, and the market for outputs may not be the same country.</w:t>
      </w:r>
    </w:p>
    <w:p w:rsidR="00000000" w:rsidDel="00000000" w:rsidP="00000000" w:rsidRDefault="00000000" w:rsidRPr="00000000" w14:paraId="0000004B">
      <w:pPr>
        <w:pStyle w:val="Heading2"/>
        <w:spacing w:after="80" w:before="0" w:line="246.99999999999994" w:lineRule="auto"/>
        <w:rPr/>
      </w:pPr>
      <w:r w:rsidDel="00000000" w:rsidR="00000000" w:rsidRPr="00000000">
        <w:rPr>
          <w:rtl w:val="0"/>
        </w:rPr>
        <w:t xml:space="preserve">5.6 Suno, Udio, music models, lyrics, and publicity rights</w:t>
      </w:r>
    </w:p>
    <w:p w:rsidR="00000000" w:rsidDel="00000000" w:rsidP="00000000" w:rsidRDefault="00000000" w:rsidRPr="00000000" w14:paraId="0000004C">
      <w:pPr>
        <w:spacing w:after="80" w:before="0" w:line="246.99999999999994" w:lineRule="auto"/>
        <w:rPr/>
      </w:pPr>
      <w:r w:rsidDel="00000000" w:rsidR="00000000" w:rsidRPr="00000000">
        <w:rPr>
          <w:rtl w:val="0"/>
        </w:rPr>
        <w:t xml:space="preserve">Music cases add another layer because they may involve musical compositions, lyrics, sound recordings, vocal likeness, style, and right of publicity. The interview discusses Suno and other AI music platforms as examples of models that allow users to generate songs from text prompts. Copyright claims may focus on copying sound recordings or musical works for training, while publicity-right claims focus on unauthorized use of a performer's identity, voice, or likeness. Recent suits involving AI music platforms show that copyright, publicity, and licensing questions are converging in the music industry.</w:t>
      </w:r>
    </w:p>
    <w:p w:rsidR="00000000" w:rsidDel="00000000" w:rsidP="00000000" w:rsidRDefault="00000000" w:rsidRPr="00000000" w14:paraId="0000004D">
      <w:pPr>
        <w:pStyle w:val="Heading2"/>
        <w:spacing w:after="80" w:before="0" w:line="246.99999999999994" w:lineRule="auto"/>
        <w:rPr/>
      </w:pPr>
      <w:r w:rsidDel="00000000" w:rsidR="00000000" w:rsidRPr="00000000">
        <w:rPr>
          <w:rtl w:val="0"/>
        </w:rPr>
        <w:t xml:space="preserve">5.7 U.S. Copyright Office and policy developments</w:t>
      </w:r>
    </w:p>
    <w:p w:rsidR="00000000" w:rsidDel="00000000" w:rsidP="00000000" w:rsidRDefault="00000000" w:rsidRPr="00000000" w14:paraId="0000004E">
      <w:pPr>
        <w:spacing w:after="80" w:before="0" w:line="246.99999999999994" w:lineRule="auto"/>
        <w:rPr/>
      </w:pPr>
      <w:r w:rsidDel="00000000" w:rsidR="00000000" w:rsidRPr="00000000">
        <w:rPr>
          <w:rtl w:val="0"/>
        </w:rPr>
        <w:t xml:space="preserve">The U.S. Copyright Office has been studying AI and copyright since 2023 and released a multi-part report addressing digital replicas, copyrightability, and generative AI training. The Office has emphasized that AI training questions require application of the statutory fair use factors to specific facts, and that licensing markets should be allowed to develop absent a demonstrated market failure. The Copyright Office's work is not a court judgment, but it is likely to be cited by courts, legislators, copyright owners, and technology companies as the law develops.</w:t>
      </w:r>
    </w:p>
    <w:p w:rsidR="00000000" w:rsidDel="00000000" w:rsidP="00000000" w:rsidRDefault="00000000" w:rsidRPr="00000000" w14:paraId="0000004F">
      <w:pPr>
        <w:pStyle w:val="Heading1"/>
        <w:spacing w:after="80" w:before="0" w:line="246.99999999999994" w:lineRule="auto"/>
        <w:rPr/>
      </w:pPr>
      <w:r w:rsidDel="00000000" w:rsidR="00000000" w:rsidRPr="00000000">
        <w:rPr>
          <w:rtl w:val="0"/>
        </w:rPr>
        <w:t xml:space="preserve">6. Output Liability, Substantial Similarity, Style, and Guardrails</w:t>
      </w:r>
    </w:p>
    <w:p w:rsidR="00000000" w:rsidDel="00000000" w:rsidP="00000000" w:rsidRDefault="00000000" w:rsidRPr="00000000" w14:paraId="00000050">
      <w:pPr>
        <w:pStyle w:val="Heading2"/>
        <w:spacing w:after="80" w:before="0" w:line="246.99999999999994" w:lineRule="auto"/>
        <w:rPr/>
      </w:pPr>
      <w:r w:rsidDel="00000000" w:rsidR="00000000" w:rsidRPr="00000000">
        <w:rPr>
          <w:rtl w:val="0"/>
        </w:rPr>
        <w:t xml:space="preserve">6.1 Regurgitation and memorization</w:t>
      </w:r>
    </w:p>
    <w:p w:rsidR="00000000" w:rsidDel="00000000" w:rsidP="00000000" w:rsidRDefault="00000000" w:rsidRPr="00000000" w14:paraId="00000051">
      <w:pPr>
        <w:spacing w:after="80" w:before="0" w:line="246.99999999999994" w:lineRule="auto"/>
        <w:rPr/>
      </w:pPr>
      <w:r w:rsidDel="00000000" w:rsidR="00000000" w:rsidRPr="00000000">
        <w:rPr>
          <w:rtl w:val="0"/>
        </w:rPr>
        <w:t xml:space="preserve">A model may sometimes generate text or images that are unusually close to material in its training data. The legal significance depends on whether protected expression is reproduced, how much is reproduced, whether the output is substantially similar, whether it substitutes for the original, and who is responsible: the model developer, the user, or both. Regurgitation evidence also may support an inference about what was in the training data.</w:t>
      </w:r>
    </w:p>
    <w:p w:rsidR="00000000" w:rsidDel="00000000" w:rsidP="00000000" w:rsidRDefault="00000000" w:rsidRPr="00000000" w14:paraId="00000052">
      <w:pPr>
        <w:pStyle w:val="Heading2"/>
        <w:spacing w:after="80" w:before="0" w:line="246.99999999999994" w:lineRule="auto"/>
        <w:rPr/>
      </w:pPr>
      <w:r w:rsidDel="00000000" w:rsidR="00000000" w:rsidRPr="00000000">
        <w:rPr>
          <w:rtl w:val="0"/>
        </w:rPr>
        <w:t xml:space="preserve">6.2 Substantial similarity is not a clean engineering rule</w:t>
      </w:r>
    </w:p>
    <w:p w:rsidR="00000000" w:rsidDel="00000000" w:rsidP="00000000" w:rsidRDefault="00000000" w:rsidRPr="00000000" w14:paraId="00000053">
      <w:pPr>
        <w:spacing w:after="80" w:before="0" w:line="246.99999999999994" w:lineRule="auto"/>
        <w:rPr/>
      </w:pPr>
      <w:r w:rsidDel="00000000" w:rsidR="00000000" w:rsidRPr="00000000">
        <w:rPr>
          <w:rtl w:val="0"/>
        </w:rPr>
        <w:t xml:space="preserve">One of the most useful portions of the interview concerns substantial similarity. Engineers may ask whether they can write an algorithm that prevents infringing outputs. Professor Balganesh explains why that is difficult: substantial similarity is not a purely mathematical test. Juries often compare works without precise numerical thresholds. Similarity that matters in copyright depends on protected expression, not merely shared ideas, genres, techniques, styles, or common elements.</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 model can block exact memorized outputs more easily than it can block every potentially infringing near-match.</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Changing every fourth word is not a reliable safe harbor.</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Similarity may matter differently for songs, photographs, software, fiction, news stories, and visual art.</w:t>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The absence of a predictable algorithm pushes developers toward licensing, data curation, filters, human review, and risk allocation.</w:t>
      </w:r>
    </w:p>
    <w:p w:rsidR="00000000" w:rsidDel="00000000" w:rsidP="00000000" w:rsidRDefault="00000000" w:rsidRPr="00000000" w14:paraId="00000058">
      <w:pPr>
        <w:pStyle w:val="Heading2"/>
        <w:spacing w:after="80" w:before="0" w:line="246.99999999999994" w:lineRule="auto"/>
        <w:rPr/>
      </w:pPr>
      <w:r w:rsidDel="00000000" w:rsidR="00000000" w:rsidRPr="00000000">
        <w:rPr>
          <w:rtl w:val="0"/>
        </w:rPr>
        <w:t xml:space="preserve">6.3 Style versus expression</w:t>
      </w:r>
    </w:p>
    <w:p w:rsidR="00000000" w:rsidDel="00000000" w:rsidP="00000000" w:rsidRDefault="00000000" w:rsidRPr="00000000" w14:paraId="00000059">
      <w:pPr>
        <w:spacing w:after="80" w:before="0" w:line="246.99999999999994" w:lineRule="auto"/>
        <w:rPr/>
      </w:pPr>
      <w:r w:rsidDel="00000000" w:rsidR="00000000" w:rsidRPr="00000000">
        <w:rPr>
          <w:rtl w:val="0"/>
        </w:rPr>
        <w:t xml:space="preserve">The interview distinguishes style from protected expression. Copyright generally does not protect an abstract style, genre, or idea. Writing in the style of a well-known author is not automatically copyright infringement if the output does not copy protected expressions from that author's works. But the practical risk remains. A style prompt may lead to an output that crosses from unprotected style into protected expression, and public-facing tools may adopt guardrails that refuse living-artist style prompts or prompts naming specific artists.</w:t>
      </w:r>
    </w:p>
    <w:p w:rsidR="00000000" w:rsidDel="00000000" w:rsidP="00000000" w:rsidRDefault="00000000" w:rsidRPr="00000000" w14:paraId="0000005A">
      <w:pPr>
        <w:pStyle w:val="Heading2"/>
        <w:spacing w:after="80" w:before="0" w:line="246.99999999999994" w:lineRule="auto"/>
        <w:rPr/>
      </w:pPr>
      <w:r w:rsidDel="00000000" w:rsidR="00000000" w:rsidRPr="00000000">
        <w:rPr>
          <w:rtl w:val="0"/>
        </w:rPr>
        <w:t xml:space="preserve">6.4 Right of publicity and digital replicas</w:t>
      </w:r>
    </w:p>
    <w:p w:rsidR="00000000" w:rsidDel="00000000" w:rsidP="00000000" w:rsidRDefault="00000000" w:rsidRPr="00000000" w14:paraId="0000005B">
      <w:pPr>
        <w:spacing w:after="80" w:before="0" w:line="246.99999999999994" w:lineRule="auto"/>
        <w:rPr/>
      </w:pPr>
      <w:r w:rsidDel="00000000" w:rsidR="00000000" w:rsidRPr="00000000">
        <w:rPr>
          <w:rtl w:val="0"/>
        </w:rPr>
        <w:t xml:space="preserve">Music and voice-generation examples also implicate the right of publicity. The interview uses the Bette Midler voice-imitation case to illustrate that a person's sound, voice, or identity may be protected even when copyright does not protect style. Recent federal legislative proposals, including the NO FAKES Act, reflect continuing concern over unauthorized digital replicas of voice and visual likeness. These issues are adjacent to copyright but not identical to it. A claim may fail as copyright infringement yet survive as a publicity-right or false-endorsement theory, depending on jurisdiction and facts.</w:t>
      </w:r>
    </w:p>
    <w:p w:rsidR="00000000" w:rsidDel="00000000" w:rsidP="00000000" w:rsidRDefault="00000000" w:rsidRPr="00000000" w14:paraId="0000005C">
      <w:pPr>
        <w:pStyle w:val="Heading1"/>
        <w:spacing w:after="80" w:before="0" w:line="246.99999999999994" w:lineRule="auto"/>
        <w:rPr/>
      </w:pPr>
      <w:r w:rsidDel="00000000" w:rsidR="00000000" w:rsidRPr="00000000">
        <w:rPr>
          <w:rtl w:val="0"/>
        </w:rPr>
        <w:t xml:space="preserve">7. Licensing as the Emerging Market Response</w:t>
      </w:r>
    </w:p>
    <w:p w:rsidR="00000000" w:rsidDel="00000000" w:rsidP="00000000" w:rsidRDefault="00000000" w:rsidRPr="00000000" w14:paraId="0000005D">
      <w:pPr>
        <w:spacing w:after="80" w:before="0" w:line="246.99999999999994" w:lineRule="auto"/>
        <w:rPr/>
      </w:pPr>
      <w:r w:rsidDel="00000000" w:rsidR="00000000" w:rsidRPr="00000000">
        <w:rPr>
          <w:rtl w:val="0"/>
        </w:rPr>
        <w:t xml:space="preserve">Professor Balganesh repeatedly returns to licensing as the likely long-term answer. Litigation may establish boundaries, but licensing can create predictable access to training materials, compensation for creators, reduced uncertainty for developers, and standards for data use. The hard question is what form licensing should take.</w:t>
      </w:r>
    </w:p>
    <w:p w:rsidR="00000000" w:rsidDel="00000000" w:rsidP="00000000" w:rsidRDefault="00000000" w:rsidRPr="00000000" w14:paraId="0000005E">
      <w:pPr>
        <w:pStyle w:val="Heading2"/>
        <w:spacing w:after="80" w:before="0" w:line="246.99999999999994" w:lineRule="auto"/>
        <w:rPr/>
      </w:pPr>
      <w:r w:rsidDel="00000000" w:rsidR="00000000" w:rsidRPr="00000000">
        <w:rPr>
          <w:rtl w:val="0"/>
        </w:rPr>
        <w:t xml:space="preserve">7.1 Why individual licensing may not scale</w:t>
      </w:r>
    </w:p>
    <w:p w:rsidR="00000000" w:rsidDel="00000000" w:rsidP="00000000" w:rsidRDefault="00000000" w:rsidRPr="00000000" w14:paraId="0000005F">
      <w:pPr>
        <w:spacing w:after="80" w:before="0" w:line="246.99999999999994" w:lineRule="auto"/>
        <w:rPr/>
      </w:pPr>
      <w:r w:rsidDel="00000000" w:rsidR="00000000" w:rsidRPr="00000000">
        <w:rPr>
          <w:rtl w:val="0"/>
        </w:rPr>
        <w:t xml:space="preserve">AI training datasets can contain millions or billions of works. Negotiating individually with every author, photographer, journalist, musician, or rights holder is not practical for many model developers. That pushes the market toward collective or aggregated licensing arrangements: publishers, collecting societies, record labels, stock image platforms, collective management organizations, or data brokers may negotiate on behalf of many rightsholders.</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Book and article licensing may involve publishers, authors, aggregators, and archives.</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Music licensing may involve owners of compositions, lyrics, sound recordings, performers, labels, publishers, and collective-management entities.</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Image licensing may involve stock-photo agencies, photographers, illustrators, database rights, watermarks, and metadata.</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News licensing may involve subscriptions, paywalls, snippets, summarization, time-sensitive value, and direct competition for readers.</w:t>
      </w:r>
    </w:p>
    <w:p w:rsidR="00000000" w:rsidDel="00000000" w:rsidP="00000000" w:rsidRDefault="00000000" w:rsidRPr="00000000" w14:paraId="00000064">
      <w:pPr>
        <w:pStyle w:val="Heading2"/>
        <w:spacing w:after="80" w:before="0" w:line="246.99999999999994" w:lineRule="auto"/>
        <w:rPr/>
      </w:pPr>
      <w:r w:rsidDel="00000000" w:rsidR="00000000" w:rsidRPr="00000000">
        <w:rPr>
          <w:rtl w:val="0"/>
        </w:rPr>
        <w:t xml:space="preserve">7.2 Licensing and fair use evidence</w:t>
      </w:r>
    </w:p>
    <w:p w:rsidR="00000000" w:rsidDel="00000000" w:rsidP="00000000" w:rsidRDefault="00000000" w:rsidRPr="00000000" w14:paraId="00000065">
      <w:pPr>
        <w:spacing w:after="80" w:before="0" w:line="246.99999999999994" w:lineRule="auto"/>
        <w:rPr/>
      </w:pPr>
      <w:r w:rsidDel="00000000" w:rsidR="00000000" w:rsidRPr="00000000">
        <w:rPr>
          <w:rtl w:val="0"/>
        </w:rPr>
        <w:t xml:space="preserve">Licensing also affects litigation. Plaintiffs point to licensing negotiations to show that a market exists and that defendants harmed that market by refusing to pay. Defendants argue that risk-averse licensing should not automatically create copyright liability; companies may license even when they believe fair use applies to avoid litigation, reputational harm, or business uncertainty. Courts therefore should ask whether there is a legally cognizable market, not merely whether someone was willing to pay for peace.</w:t>
      </w:r>
    </w:p>
    <w:p w:rsidR="00000000" w:rsidDel="00000000" w:rsidP="00000000" w:rsidRDefault="00000000" w:rsidRPr="00000000" w14:paraId="00000066">
      <w:pPr>
        <w:pStyle w:val="Heading2"/>
        <w:spacing w:after="80" w:before="0" w:line="246.99999999999994" w:lineRule="auto"/>
        <w:rPr/>
      </w:pPr>
      <w:r w:rsidDel="00000000" w:rsidR="00000000" w:rsidRPr="00000000">
        <w:rPr>
          <w:rtl w:val="0"/>
        </w:rPr>
        <w:t xml:space="preserve">7.3 Human creators and AI-assisted work</w:t>
      </w:r>
    </w:p>
    <w:p w:rsidR="00000000" w:rsidDel="00000000" w:rsidP="00000000" w:rsidRDefault="00000000" w:rsidRPr="00000000" w14:paraId="00000067">
      <w:pPr>
        <w:spacing w:after="80" w:before="0" w:line="246.99999999999994" w:lineRule="auto"/>
        <w:rPr/>
      </w:pPr>
      <w:r w:rsidDel="00000000" w:rsidR="00000000" w:rsidRPr="00000000">
        <w:rPr>
          <w:rtl w:val="0"/>
        </w:rPr>
        <w:t xml:space="preserve">The interview closes with a forward-looking question: whether creators and AI systems can become partners rather than pure substitutes. Professor Balganesh suggests that some low-level creative work may be replaced, while higher-value creative work may shift toward collaboration, curation, iteration, and new forms of authorship. The U.S. Copyright Office has stated that human authorship remains central to copyrightability, while AI-assisted works may still contain protectable human expression, selection, coordination, arrangement, or modification. Lawyers should therefore separate two questions: whether training requires permission, and whether outputs contain enough human authorship to be protected.</w:t>
      </w:r>
    </w:p>
    <w:p w:rsidR="00000000" w:rsidDel="00000000" w:rsidP="00000000" w:rsidRDefault="00000000" w:rsidRPr="00000000" w14:paraId="00000068">
      <w:pPr>
        <w:pStyle w:val="Heading1"/>
        <w:spacing w:after="80" w:before="0" w:line="246.99999999999994" w:lineRule="auto"/>
        <w:rPr/>
      </w:pPr>
      <w:r w:rsidDel="00000000" w:rsidR="00000000" w:rsidRPr="00000000">
        <w:rPr>
          <w:rtl w:val="0"/>
        </w:rPr>
        <w:t xml:space="preserve">8. Practical Analysis Checklists</w:t>
      </w:r>
    </w:p>
    <w:p w:rsidR="00000000" w:rsidDel="00000000" w:rsidP="00000000" w:rsidRDefault="00000000" w:rsidRPr="00000000" w14:paraId="00000069">
      <w:pPr>
        <w:pStyle w:val="Heading2"/>
        <w:spacing w:after="80" w:before="0" w:line="246.99999999999994" w:lineRule="auto"/>
        <w:rPr/>
      </w:pPr>
      <w:r w:rsidDel="00000000" w:rsidR="00000000" w:rsidRPr="00000000">
        <w:rPr>
          <w:rtl w:val="0"/>
        </w:rPr>
        <w:t xml:space="preserve">8.1 Plaintiff-side checklist</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Identify the protected works and confirm ownership, registration status, authorship, and chain of title.</w:t>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Gather evidence of copying: dataset disclosures, public statements, leaked datasets, metadata, output similarity, admissions, procurement records, scraping evidence, or discovery responses.</w:t>
      </w:r>
    </w:p>
    <w:p w:rsidR="00000000" w:rsidDel="00000000" w:rsidP="00000000" w:rsidRDefault="00000000" w:rsidRPr="00000000" w14:paraId="0000006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Separate input claims from output claims and plead the specific acts of infringement.</w:t>
      </w:r>
    </w:p>
    <w:p w:rsidR="00000000" w:rsidDel="00000000" w:rsidP="00000000" w:rsidRDefault="00000000" w:rsidRPr="00000000" w14:paraId="0000006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Develop factor-four evidence: lost sales, market substitution, licensing-market harm, paywall circumvention, dilution, or harm to derivative markets.</w:t>
      </w:r>
    </w:p>
    <w:p w:rsidR="00000000" w:rsidDel="00000000" w:rsidP="00000000" w:rsidRDefault="00000000" w:rsidRPr="00000000" w14:paraId="0000006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Identify whether the defendant obtained works lawfully or through pirate libraries, stream ripping, scraping in violation of access controls, or other contested sources.</w:t>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Consider non-copyright claims where appropriate: DMCA, contract, terms of service, trademark, false endorsement, right of publicity, unfair competition, privacy, or trade secret issues.</w:t>
      </w:r>
    </w:p>
    <w:p w:rsidR="00000000" w:rsidDel="00000000" w:rsidP="00000000" w:rsidRDefault="00000000" w:rsidRPr="00000000" w14:paraId="00000070">
      <w:pPr>
        <w:pStyle w:val="Heading2"/>
        <w:spacing w:after="80" w:before="0" w:line="246.99999999999994" w:lineRule="auto"/>
        <w:rPr/>
      </w:pPr>
      <w:r w:rsidDel="00000000" w:rsidR="00000000" w:rsidRPr="00000000">
        <w:rPr>
          <w:rtl w:val="0"/>
        </w:rPr>
        <w:t xml:space="preserve">8.2 Defense-side checklist</w:t>
      </w:r>
    </w:p>
    <w:p w:rsidR="00000000" w:rsidDel="00000000" w:rsidP="00000000" w:rsidRDefault="00000000" w:rsidRPr="00000000" w14:paraId="0000007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Map every use of the work: acquisition, temporary copies, preprocessing, training, fine-tuning, evaluation, deployment, output, logging, and retention.</w:t>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Document lawful acquisition, licenses, opt-outs, filtering, provenance, deletion, and dataset governance.</w:t>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Frame the transformative purpose precisely; avoid relying on broad slogans.</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Show why the amount copied was reasonable in relation to the technical purpose.</w:t>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Develop evidence that outputs do not substitute for original works and that guardrails reduce regurgitation or substantial similarity risk.</w:t>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Assess whether a settlement or licensing pathway is economically preferable to continued litigation uncertainty.</w:t>
      </w:r>
    </w:p>
    <w:p w:rsidR="00000000" w:rsidDel="00000000" w:rsidP="00000000" w:rsidRDefault="00000000" w:rsidRPr="00000000" w14:paraId="00000077">
      <w:pPr>
        <w:pStyle w:val="Heading2"/>
        <w:spacing w:after="80" w:before="0" w:line="246.99999999999994" w:lineRule="auto"/>
        <w:rPr/>
      </w:pPr>
      <w:r w:rsidDel="00000000" w:rsidR="00000000" w:rsidRPr="00000000">
        <w:rPr>
          <w:rtl w:val="0"/>
        </w:rPr>
        <w:t xml:space="preserve">8.3 AI developer governance checklist</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Maintain a documented inventory of datasets and their sources.</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Record whether works were purchased, licensed, scraped, user-supplied, public-domain, synthetic, or otherwise obtained.</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Track restrictions, opt-outs, privacy limits, contractual terms, and rights-holder notices.</w:t>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Build output filters for exact or near-exact reproduction, watermark artifacts, lyrics, lengthy excerpts, and artist-name prompts where appropriate.</w:t>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Create escalation procedures for takedown demands, repeat infringing outputs, and evidence preservation.</w:t>
      </w:r>
    </w:p>
    <w:p w:rsidR="00000000" w:rsidDel="00000000" w:rsidP="00000000" w:rsidRDefault="00000000" w:rsidRPr="00000000" w14:paraId="0000007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Align technical controls with legal theories; a guardrail is useful only if it addresses the specific infringement risk.</w:t>
      </w:r>
    </w:p>
    <w:p w:rsidR="00000000" w:rsidDel="00000000" w:rsidP="00000000" w:rsidRDefault="00000000" w:rsidRPr="00000000" w14:paraId="0000007E">
      <w:pPr>
        <w:pStyle w:val="Heading2"/>
        <w:spacing w:after="80" w:before="0" w:line="246.99999999999994" w:lineRule="auto"/>
        <w:rPr/>
      </w:pPr>
      <w:r w:rsidDel="00000000" w:rsidR="00000000" w:rsidRPr="00000000">
        <w:rPr>
          <w:rtl w:val="0"/>
        </w:rPr>
        <w:t xml:space="preserve">8.4 Transactional and licensing checklist</w:t>
      </w:r>
    </w:p>
    <w:p w:rsidR="00000000" w:rsidDel="00000000" w:rsidP="00000000" w:rsidRDefault="00000000" w:rsidRPr="00000000" w14:paraId="0000007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Define the licensed use: training, fine-tuning, evaluation, retrieval-augmented generation, output display, derivative products, or archival storage.</w:t>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Specify territory, duration, model family, data retention, deletion, audit rights, sublicensing, and downstream use.</w:t>
      </w:r>
    </w:p>
    <w:p w:rsidR="00000000" w:rsidDel="00000000" w:rsidP="00000000" w:rsidRDefault="00000000" w:rsidRPr="00000000" w14:paraId="0000008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Address attribution, removal requests, opt-outs, weighting, royalties, minimum guarantees, and reporting.</w:t>
      </w:r>
    </w:p>
    <w:p w:rsidR="00000000" w:rsidDel="00000000" w:rsidP="00000000" w:rsidRDefault="00000000" w:rsidRPr="00000000" w14:paraId="0000008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Clarify whether outputs are restricted, indemnified, monitored, or revenue-shared.</w:t>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Consider collective licensing for large repertoires and direct licensing for premium or sensitive content.</w:t>
      </w:r>
    </w:p>
    <w:p w:rsidR="00000000" w:rsidDel="00000000" w:rsidP="00000000" w:rsidRDefault="00000000" w:rsidRPr="00000000" w14:paraId="000000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Preserve rights for claims outside copyright, such as publicity, trademark, privacy, moral rights, or contract.</w:t>
      </w:r>
    </w:p>
    <w:p w:rsidR="00000000" w:rsidDel="00000000" w:rsidP="00000000" w:rsidRDefault="00000000" w:rsidRPr="00000000" w14:paraId="00000085">
      <w:pPr>
        <w:pStyle w:val="Heading1"/>
        <w:spacing w:after="80" w:before="0" w:line="246.99999999999994" w:lineRule="auto"/>
        <w:rPr/>
      </w:pPr>
      <w:r w:rsidDel="00000000" w:rsidR="00000000" w:rsidRPr="00000000">
        <w:rPr>
          <w:rtl w:val="0"/>
        </w:rPr>
        <w:t xml:space="preserve">9. Resources</w:t>
      </w:r>
    </w:p>
    <w:p w:rsidR="00000000" w:rsidDel="00000000" w:rsidP="00000000" w:rsidRDefault="00000000" w:rsidRPr="00000000" w14:paraId="000000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17 U.S.C. § 107, Fair Use.</w:t>
      </w:r>
    </w:p>
    <w:p w:rsidR="00000000" w:rsidDel="00000000" w:rsidP="00000000" w:rsidRDefault="00000000" w:rsidRPr="00000000" w14:paraId="000000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Campbell v. Acuff-Rose Music, Inc., 510 U.S. 569 (1994).</w:t>
      </w:r>
    </w:p>
    <w:p w:rsidR="00000000" w:rsidDel="00000000" w:rsidP="00000000" w:rsidRDefault="00000000" w:rsidRPr="00000000" w14:paraId="000000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Authors Guild v. Google, Inc., 804 F.3d 202 (2d Cir. 2015).</w:t>
      </w:r>
    </w:p>
    <w:p w:rsidR="00000000" w:rsidDel="00000000" w:rsidP="00000000" w:rsidRDefault="00000000" w:rsidRPr="00000000" w14:paraId="000000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Andy Warhol Foundation for the Visual Arts, Inc. v. Goldsmith, 598 U.S. 508 (2023).</w:t>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The New York Times Co. v. Microsoft Corp. and OpenAI, Inc., No. 1:23-cv-11195 (S.D.N.Y.).</w:t>
      </w:r>
    </w:p>
    <w:p w:rsidR="00000000" w:rsidDel="00000000" w:rsidP="00000000" w:rsidRDefault="00000000" w:rsidRPr="00000000" w14:paraId="000000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Getty Images (US), Inc. v. Stability AI, Inc. and related U.K. proceedings.</w:t>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UMG Recordings, Inc. v. Suno, Inc. and related AI music-generation litigation.</w:t>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Thomson Reuters Enterprise Centre GmbH v. ROSS Intelligence Inc., No. 1:20-cv-613 (D. Del.).</w:t>
      </w:r>
    </w:p>
    <w:p w:rsidR="00000000" w:rsidDel="00000000" w:rsidP="00000000" w:rsidRDefault="00000000" w:rsidRPr="00000000" w14:paraId="000000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Bartz v. Anthropic PBC, No. 3:24-cv-05417 (N.D. Cal.).</w:t>
      </w:r>
    </w:p>
    <w:p w:rsidR="00000000" w:rsidDel="00000000" w:rsidP="00000000" w:rsidRDefault="00000000" w:rsidRPr="00000000" w14:paraId="000000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Kadrey v. Meta Platforms, Inc., No. 3:23-cv-03417 (N.D. Cal.).</w:t>
      </w:r>
    </w:p>
    <w:p w:rsidR="00000000" w:rsidDel="00000000" w:rsidP="00000000" w:rsidRDefault="00000000" w:rsidRPr="00000000" w14:paraId="000000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U.S. Copyright Office, Copyright and Artificial Intelligence, Part 1: Digital Replicas (2024).</w:t>
      </w:r>
    </w:p>
    <w:p w:rsidR="00000000" w:rsidDel="00000000" w:rsidP="00000000" w:rsidRDefault="00000000" w:rsidRPr="00000000" w14:paraId="000000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U.S. Copyright Office, Copyright and Artificial Intelligence, Part 2: Copyrightability (2025).</w:t>
      </w:r>
    </w:p>
    <w:p w:rsidR="00000000" w:rsidDel="00000000" w:rsidP="00000000" w:rsidRDefault="00000000" w:rsidRPr="00000000" w14:paraId="000000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U.S. Copyright Office, Copyright and Artificial Intelligence, Part 3: Generative AI Training (pre-publication version, 2025).</w:t>
      </w:r>
    </w:p>
    <w:p w:rsidR="00000000" w:rsidDel="00000000" w:rsidP="00000000" w:rsidRDefault="00000000" w:rsidRPr="00000000" w14:paraId="000000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California Generative Artificial Intelligence: Training Data Transparency Act, AB 2013.</w:t>
      </w:r>
    </w:p>
    <w:p w:rsidR="00000000" w:rsidDel="00000000" w:rsidP="00000000" w:rsidRDefault="00000000" w:rsidRPr="00000000" w14:paraId="000000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NO FAKES Act materials concerning digital replicas of voice and visual likeness.</w:t>
      </w:r>
    </w:p>
    <w:p w:rsidR="00000000" w:rsidDel="00000000" w:rsidP="00000000" w:rsidRDefault="00000000" w:rsidRPr="00000000" w14:paraId="000000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Midler v. Ford Motor Co., 849 F.2d 460 (9th Cir. 1988).</w:t>
      </w:r>
    </w:p>
    <w:p w:rsidR="00000000" w:rsidDel="00000000" w:rsidP="00000000" w:rsidRDefault="00000000" w:rsidRPr="00000000" w14:paraId="00000096">
      <w:pPr>
        <w:pStyle w:val="Heading1"/>
        <w:spacing w:after="80" w:before="0" w:line="246.99999999999994" w:lineRule="auto"/>
        <w:rPr/>
      </w:pPr>
      <w:r w:rsidDel="00000000" w:rsidR="00000000" w:rsidRPr="00000000">
        <w:rPr>
          <w:rtl w:val="0"/>
        </w:rPr>
        <w:t xml:space="preserve">10. Key Takeaways</w:t>
      </w:r>
    </w:p>
    <w:p w:rsidR="00000000" w:rsidDel="00000000" w:rsidP="00000000" w:rsidRDefault="00000000" w:rsidRPr="00000000" w14:paraId="000000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AI copyright disputes begin with technology facts: what was copied, from where, for what purpose, and what the model can output.</w:t>
      </w:r>
    </w:p>
    <w:p w:rsidR="00000000" w:rsidDel="00000000" w:rsidP="00000000" w:rsidRDefault="00000000" w:rsidRPr="00000000" w14:paraId="000000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Internal or private copying can still implicate copyright; fair use is a defense after copying is established.</w:t>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Transformative purpose is important, but Warhol confirms that it is not an all-purpose safe harbor.</w:t>
      </w:r>
    </w:p>
    <w:p w:rsidR="00000000" w:rsidDel="00000000" w:rsidP="00000000" w:rsidRDefault="00000000" w:rsidRPr="00000000" w14:paraId="000000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Current AI cases are fact-specific and divergent: some rulings favor copyright owners, some favor developers on particular records, and some separate training from acquisition or output conduct.</w:t>
      </w:r>
    </w:p>
    <w:p w:rsidR="00000000" w:rsidDel="00000000" w:rsidP="00000000" w:rsidRDefault="00000000" w:rsidRPr="00000000" w14:paraId="0000009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Market evidence is critical. Licensing markets, paywall substitution, output competition, and creator incentives often drive factor-four analysis.</w:t>
      </w:r>
    </w:p>
    <w:p w:rsidR="00000000" w:rsidDel="00000000" w:rsidP="00000000" w:rsidRDefault="00000000" w:rsidRPr="00000000" w14:paraId="000000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Technical guardrails help but cannot eliminate all substantial-similarity risk because copyright similarity analysis is not a simple algorithmic threshold.</w:t>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80" w:before="0" w:line="246.99999999999994" w:lineRule="auto"/>
        <w:ind w:left="360" w:right="0" w:hanging="360"/>
        <w:jc w:val="left"/>
        <w:rPr/>
      </w:pPr>
      <w:r w:rsidDel="00000000" w:rsidR="00000000" w:rsidRPr="00000000">
        <w:rPr>
          <w:rFonts w:ascii="Calibri" w:cs="Calibri" w:eastAsia="Calibri" w:hAnsi="Calibri"/>
          <w:b w:val="0"/>
          <w:bCs w:val="0"/>
          <w:i w:val="0"/>
          <w:iCs w:val="0"/>
          <w:smallCaps w:val="0"/>
          <w:strike w:val="0"/>
          <w:color w:val="000000"/>
          <w:sz w:val="21"/>
          <w:szCs w:val="21"/>
          <w:u w:val="none"/>
          <w:shd w:fill="auto" w:val="clear"/>
          <w:vertAlign w:val="baseline"/>
          <w:rtl w:val="0"/>
        </w:rPr>
        <w:t xml:space="preserve">Licensing, transparency, provenance, and creator-AI partnerships are likely to shape the next stage of AI copyright law and business practice.</w:t>
      </w:r>
    </w:p>
    <w:sectPr>
      <w:pgSz w:h="15840" w:w="12240" w:orient="portrait"/>
      <w:pgMar w:bottom="1224" w:top="1224" w:left="1224" w:right="122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1"/>
        <w:szCs w:val="21"/>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6"/>
      <w:szCs w:val="26"/>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3"/>
      <w:szCs w:val="23"/>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sz w:val="21"/>
      <w:szCs w:val="21"/>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KcJMRvtm0u+ICAfuMNijZIfsMQ==">CgMxLjA4AHIhMWp0eFQ5cklhZmYydlhoYkQwVVlyaHBiaDdfNEpiWVVY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