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The Internet of Things – The Latest Frontier</w:t>
      </w:r>
    </w:p>
    <w:p>
      <w:pPr>
        <w:spacing w:after="200"/>
      </w:pPr>
      <w:r>
        <w:rPr>
          <w:rFonts w:ascii="Montserrat" w:cs="Montserrat" w:eastAsia="Montserrat" w:hAnsi="Montserrat"/>
          <w:b/>
          <w:bCs/>
          <w:color w:val="E87722"/>
          <w:sz w:val="24"/>
          <w:szCs w:val="24"/>
        </w:rPr>
        <w:t xml:space="preserve">John Heitmann and Jameson Dempsey</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the first of two parts, examines the privacy and data security law applicable to the Internet of Things — networked devices that collect and transmit data through sensors without direct human input. It addresses the sectoral structure of United States privacy law, the enforcement authority of the Federal Trade Commission and the Federal Communications Commission, categories of sensitive data, disclosure and consent practices, and the components of a reasonable data security program. Part 2 addresses enforcement proceedings, device security, net neutrality, and regulatory outlook.</w:t>
      </w:r>
    </w:p>
    <w:p>
      <w:pPr>
        <w:pStyle w:val="Heading2"/>
        <w:spacing w:after="120" w:before="240"/>
      </w:pPr>
      <w:r>
        <w:rPr>
          <w:b/>
          <w:bCs/>
        </w:rPr>
        <w:t xml:space="preserve">The Sectoral Framework of United States Privacy Law</w:t>
      </w:r>
    </w:p>
    <w:p>
      <w:pPr>
        <w:spacing w:after="160"/>
      </w:pPr>
      <w:r>
        <w:t xml:space="preserve">The United States has no comprehensive federal privacy statute. Federal law protects specific categories of data: the Children's Online Privacy Protection Act (COPPA) governs collection of personal information from children under thirteen; the Health Insurance Portability and Accountability Act (HIPAA) governs protected health information held by covered entities and business associates; the Gramm–Leach–Bliley Act governs nonpublic personal information held by financial institutions; and the Fair Credit Reporting Act governs consumer reports. California's Online Privacy Protection Act (CalOPPA) requires operators of commercial websites and online services collecting personal information from California residents to post a privacy policy. Data generated by consumer devices such as fitness trackers, home monitors, and connected vehicles often falls outside these statutes, as HIPAA applies only to covered entities and not to device manufacturers generally.</w:t>
      </w:r>
    </w:p>
    <w:p>
      <w:pPr>
        <w:pStyle w:val="Heading2"/>
        <w:spacing w:after="120" w:before="240"/>
      </w:pPr>
      <w:r>
        <w:rPr>
          <w:b/>
          <w:bCs/>
        </w:rPr>
        <w:t xml:space="preserve">FTC Authority Under Section 5</w:t>
      </w:r>
    </w:p>
    <w:p>
      <w:pPr>
        <w:spacing w:after="160"/>
      </w:pPr>
      <w:r>
        <w:t xml:space="preserve">Section 5 of the Federal Trade Commission Act, 15 U.S.C. § 45, prohibits unfair or deceptive acts or practices in or affecting commerce. A practice is deceptive if it involves a material representation or omission likely to mislead reasonable consumers, including statements in privacy policies that a company does not honor. A practice is unfair if it causes or is likely to cause substantial injury to consumers that is not reasonably avoidable and not outweighed by countervailing benefits; the FTC has applied the unfairness standard to inadequate data security, and in FTC v. Wyndham Worldwide Corp. (3d Cir. 2015) the Third Circuit confirmed the Commission's authority to do so. The FTC's January 2015 staff report, Internet of Things: Privacy and Security in a Connected World, recommended security by design, data minimization, and notice and choice, and concluded that IoT-specific legislation would be premature.</w:t>
      </w:r>
    </w:p>
    <w:p>
      <w:pPr>
        <w:pStyle w:val="Heading2"/>
        <w:spacing w:after="120" w:before="240"/>
      </w:pPr>
      <w:r>
        <w:rPr>
          <w:b/>
          <w:bCs/>
        </w:rPr>
        <w:t xml:space="preserve">FCC Authority</w:t>
      </w:r>
    </w:p>
    <w:p>
      <w:pPr>
        <w:spacing w:after="160"/>
      </w:pPr>
      <w:r>
        <w:t xml:space="preserve">The FCC regulates common carriers, including telecommunications providers and, following the 2015 Open Internet Order, broadband internet access providers, under the Communications Act. Section 201(b) prohibits unjust and unreasonable practices, and Section 222 requires carriers to protect the confidentiality of customer proprietary network information. The FCC has applied these provisions to data security failures by carriers through enforcement proceedings and consent decrees.</w:t>
      </w:r>
    </w:p>
    <w:p>
      <w:pPr>
        <w:pStyle w:val="Heading2"/>
        <w:spacing w:after="120" w:before="240"/>
      </w:pPr>
      <w:r>
        <w:rPr>
          <w:b/>
          <w:bCs/>
        </w:rPr>
        <w:t xml:space="preserve">Sensitive Data Categories</w:t>
      </w:r>
    </w:p>
    <w:p>
      <w:pPr>
        <w:spacing w:after="160"/>
      </w:pPr>
      <w:r>
        <w:t xml:space="preserve">Regulators and industry treat certain data categories as sensitive and warranting heightened protection and affirmative consent: health information, financial information, precise geolocation, and information about children. The guests observe that IoT devices frequently generate such data incidentally, as when a wearable records heart rate or a vehicle records location, and that the flow of device data into smartphone applications and cloud platforms multiplies the opportunities for disclosure.</w:t>
      </w:r>
    </w:p>
    <w:p>
      <w:pPr>
        <w:pStyle w:val="Heading2"/>
        <w:spacing w:after="120" w:before="240"/>
      </w:pPr>
      <w:r>
        <w:rPr>
          <w:b/>
          <w:bCs/>
        </w:rPr>
        <w:t xml:space="preserve">Disclosure, Consent, and Privacy Policies</w:t>
      </w:r>
    </w:p>
    <w:p>
      <w:pPr>
        <w:spacing w:after="160"/>
      </w:pPr>
      <w:r>
        <w:t xml:space="preserve">Privacy policies and terms of use form the basis for deception claims under Section 5 and for contractual and consumer-protection litigation. The guests describe the movement toward layered and just-in-time disclosures, such as mobile permission prompts, as an emerging best practice that regulators increasingly expect, and note that industry self-regulatory programs, such as those of the Digital Advertising Alliance, are enforced through referral to the FTC where participants fail to honor their commitments.</w:t>
      </w:r>
    </w:p>
    <w:p>
      <w:pPr>
        <w:pStyle w:val="Heading2"/>
        <w:spacing w:after="120" w:before="240"/>
      </w:pPr>
      <w:r>
        <w:rPr>
          <w:b/>
          <w:bCs/>
        </w:rPr>
        <w:t xml:space="preserve">Reasonable Data Security</w:t>
      </w:r>
    </w:p>
    <w:p>
      <w:pPr>
        <w:spacing w:after="160"/>
      </w:pPr>
      <w:r>
        <w:t xml:space="preserve">Reasonable security under Section 5 and sector-specific rules comprises physical, administrative, and technical safeguards, including access controls limited to personnel with a need to know, encryption of data at rest and in transit, employee training, vendor management, and monitoring of known vulnerabilities. Platforms that aggregate data from many devices present greater risk and warrant correspondingly greater safeguards. Security failures in connected devices, unlike many data breaches, may threaten physical safety.</w:t>
      </w:r>
    </w:p>
    <w:p>
      <w:pPr>
        <w:pStyle w:val="Heading2"/>
        <w:spacing w:after="120" w:before="240"/>
      </w:pPr>
      <w:r>
        <w:rPr>
          <w:b/>
          <w:bCs/>
        </w:rPr>
        <w:t xml:space="preserve">Developments to Know</w:t>
      </w:r>
    </w:p>
    <w:p>
      <w:pPr>
        <w:spacing w:after="160"/>
      </w:pPr>
      <w:r>
        <w:t xml:space="preserve">The FTC has brought Section 5 actions against connected-device companies including D-Link Systems (2017, settled 2019) for misrepresenting router and camera security; Vizio (2017) for collecting television viewing data without consent; Ring (2023) for inadequate access controls on home cameras; and, in January 2025, General Motors and OnStar for collecting and selling drivers' geolocation and driving-behavior data to consumer reporting agencies without consent, resulting in a consent order barring such disclosures for five years. California enacted SB-327 (Cal. Civ. Code § 1798.91.04), effective January 1, 2020, requiring manufacturers of connected devices to equip them with reasonable security features, and Oregon adopted a similar law. The IoT Cybersecurity Improvement Act of 2020 requires federal agencies to procure only devices meeting NIST security standards. The FCC adopted the U.S. Cyber Trust Mark program in March 2024, a voluntary labeling program for consumer IoT products meeting NIST baseline criteria, which launched in 2025. The California Consumer Privacy Act (2018), amended by the California Privacy Rights Act (2020), and comprehensive privacy statutes in approximately twenty states establish rights of access, deletion, correction, and opt-out of sale and targeted advertising, with heightened consent requirements for sensitive data including precise geolocation and health data. Congress has not enacted a federal comprehensive privacy law. In Carpenter v. United States (2018), the Supreme Court held that government acquisition of historical cell-site location records is a Fourth Amendment search. Congress repealed the FCC's 2016 broadband privacy rules under the Congressional Review Act in 2017.</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2026-09-24T18:49:12.659Z</dcterms:created>
  <dcterms:modified xsi:type="dcterms:W3CDTF">2026-09-24T18:49:12.659Z</dcterms:modified>
</cp:coreProperties>
</file>

<file path=docProps/custom.xml><?xml version="1.0" encoding="utf-8"?>
<Properties xmlns="http://schemas.openxmlformats.org/officeDocument/2006/custom-properties" xmlns:vt="http://schemas.openxmlformats.org/officeDocument/2006/docPropsVTypes"/>
</file>