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Fund Owner Departures + Upper Tier Arrangements</w:t>
      </w:r>
    </w:p>
    <w:p>
      <w:pPr>
        <w:spacing w:after="200"/>
      </w:pPr>
      <w:r>
        <w:rPr>
          <w:rFonts w:ascii="Montserrat" w:cs="Montserrat" w:eastAsia="Montserrat" w:hAnsi="Montserrat"/>
          <w:b/>
          <w:bCs/>
          <w:color w:val="E87722"/>
          <w:sz w:val="24"/>
          <w:szCs w:val="24"/>
        </w:rPr>
        <w:t>Ira Kustin and Desireé Busching, Partners, Akin</w:t>
      </w:r>
    </w:p>
    <w:p>
      <w:pPr>
        <w:pStyle w:val="Heading2"/>
        <w:spacing w:after="120" w:before="240"/>
      </w:pPr>
      <w:r>
        <w:rPr>
          <w:b/>
          <w:bCs/>
        </w:rPr>
        <w:t>Overview</w:t>
      </w:r>
    </w:p>
    <w:p>
      <w:pPr>
        <w:spacing w:after="160"/>
      </w:pPr>
      <w:r>
        <w:t>This program addresses the legal issues raised when a principal, founder, or key employee departs from a private fund manager. Akin partners Ira Kustin, a private funds lawyer, and Desireé Busching, a labor and employment lawyer, explain why founders should document their "upper tier" arrangements at launch; the compensation, equity, and restrictive-covenant terms to address in employment agreements; how key person provisions in fund documents operate; whom fund counsel represents; and practical provisions that ease a departure. The program was recorded in 2024; updates cover the fate of the FTC's noncompete rule and SEC enforcement involving whistleblower protections.</w:t>
      </w:r>
    </w:p>
    <w:p>
      <w:pPr>
        <w:pStyle w:val="Heading2"/>
        <w:spacing w:after="120" w:before="240"/>
      </w:pPr>
      <w:r>
        <w:rPr>
          <w:b/>
          <w:bCs/>
        </w:rPr>
        <w:t>Learning Objectives</w:t>
      </w:r>
    </w:p>
    <w:p>
      <w:pPr>
        <w:pStyle w:val="ListParagraph"/>
        <w:numPr>
          <w:ilvl w:val="0"/>
          <w:numId w:val="1"/>
        </w:numPr>
        <w:spacing w:after="80"/>
      </w:pPr>
      <w:r>
        <w:t>Identify the governance and economic terms that should be documented in upper tier arrangements among a fund manager's principals.</w:t>
      </w:r>
    </w:p>
    <w:p>
      <w:pPr>
        <w:pStyle w:val="ListParagraph"/>
        <w:numPr>
          <w:ilvl w:val="0"/>
          <w:numId w:val="1"/>
        </w:numPr>
        <w:spacing w:after="80"/>
      </w:pPr>
      <w:r>
        <w:t>Draft employment agreement provisions addressing equity, carried interest, deferred compensation, vesting, cause, and good and bad leaver treatment.</w:t>
      </w:r>
    </w:p>
    <w:p>
      <w:pPr>
        <w:pStyle w:val="ListParagraph"/>
        <w:numPr>
          <w:ilvl w:val="0"/>
          <w:numId w:val="1"/>
        </w:numPr>
        <w:spacing w:after="80"/>
      </w:pPr>
      <w:r>
        <w:t>Explain the operation and consequences of key person provisions in hedge funds and private equity-style funds.</w:t>
      </w:r>
    </w:p>
    <w:p>
      <w:pPr>
        <w:pStyle w:val="ListParagraph"/>
        <w:numPr>
          <w:ilvl w:val="0"/>
          <w:numId w:val="1"/>
        </w:numPr>
        <w:spacing w:after="80"/>
      </w:pPr>
      <w:r>
        <w:t>Evaluate restrictive covenant strategies, including forfeiture-for-competition provisions, in light of evolving federal and state noncompete law.</w:t>
      </w:r>
    </w:p>
    <w:p>
      <w:pPr>
        <w:pStyle w:val="ListParagraph"/>
        <w:numPr>
          <w:ilvl w:val="0"/>
          <w:numId w:val="1"/>
        </w:numPr>
        <w:spacing w:after="80"/>
      </w:pPr>
      <w:r>
        <w:t>Apply professional responsibility principles regarding entity representation in departures and internal investigations.</w:t>
      </w:r>
    </w:p>
    <w:p>
      <w:pPr>
        <w:pStyle w:val="ListParagraph"/>
        <w:numPr>
          <w:ilvl w:val="0"/>
          <w:numId w:val="1"/>
        </w:numPr>
        <w:spacing w:after="80"/>
      </w:pPr>
      <w:r>
        <w:t>Incorporate whistleblower carve-outs, cooperation clauses, arbitration provisions, and powers of attorney into fund and employment documents.</w:t>
      </w:r>
    </w:p>
    <w:p>
      <w:pPr>
        <w:pStyle w:val="Heading2"/>
        <w:spacing w:after="120" w:before="240"/>
      </w:pPr>
      <w:r>
        <w:rPr>
          <w:b/>
          <w:bCs/>
        </w:rPr>
        <w:t>Upper Tier Arrangements</w:t>
      </w:r>
    </w:p>
    <w:p>
      <w:pPr>
        <w:pStyle w:val="ListParagraph"/>
        <w:numPr>
          <w:ilvl w:val="0"/>
          <w:numId w:val="1"/>
        </w:numPr>
        <w:spacing w:after="80"/>
      </w:pPr>
      <w:r>
        <w:t>Definition. Upper tier arrangements are the agreements among the owners of an investment manager and its general partner covering governance rights, the division of management fees and performance compensation, admission of new partners, and the consequences of departure.</w:t>
      </w:r>
    </w:p>
    <w:p>
      <w:pPr>
        <w:pStyle w:val="ListParagraph"/>
        <w:numPr>
          <w:ilvl w:val="0"/>
          <w:numId w:val="1"/>
        </w:numPr>
        <w:spacing w:after="80"/>
      </w:pPr>
      <w:r>
        <w:t>The handshake problem. Founders focused on fundraising often leave their own deal undocumented. Disputes then arise over what was agreed, including claims by senior employees holding phantom or minority equity that they were promised a full partnership share.</w:t>
      </w:r>
    </w:p>
    <w:p>
      <w:pPr>
        <w:pStyle w:val="ListParagraph"/>
        <w:numPr>
          <w:ilvl w:val="0"/>
          <w:numId w:val="1"/>
        </w:numPr>
        <w:spacing w:after="80"/>
      </w:pPr>
      <w:r>
        <w:t>Bespoke terms. Unlike fund terms, for which counsel can advise on market practice, upper tier deals vary widely with the number and seniority of principals and the firm's growth plans. They should be documented at launch, with flexibility for adding partners and tiers, and coordinated with tax and intellectual property advice.</w:t>
      </w:r>
    </w:p>
    <w:p>
      <w:pPr>
        <w:pStyle w:val="Heading2"/>
        <w:spacing w:after="120" w:before="240"/>
      </w:pPr>
      <w:r>
        <w:rPr>
          <w:b/>
          <w:bCs/>
        </w:rPr>
        <w:t>Employment Agreements and Compensation</w:t>
      </w:r>
    </w:p>
    <w:p>
      <w:pPr>
        <w:pStyle w:val="ListParagraph"/>
        <w:numPr>
          <w:ilvl w:val="0"/>
          <w:numId w:val="1"/>
        </w:numPr>
        <w:spacing w:after="80"/>
      </w:pPr>
      <w:r>
        <w:t>Equity and economics. Agreements should specify whether employees receive equity, points, phantom equity, or carried interest, and in which entity (for example, the general partner or another vehicle).</w:t>
      </w:r>
    </w:p>
    <w:p>
      <w:pPr>
        <w:pStyle w:val="ListParagraph"/>
        <w:numPr>
          <w:ilvl w:val="0"/>
          <w:numId w:val="1"/>
        </w:numPr>
        <w:spacing w:after="80"/>
      </w:pPr>
      <w:r>
        <w:t>Timing. Hedge funds typically pay performance compensation annually, while private equity-style funds' carried interest is back-ended over the fund's life, which affects deferral, vesting, and what a departing employee is owed.</w:t>
      </w:r>
    </w:p>
    <w:p>
      <w:pPr>
        <w:pStyle w:val="ListParagraph"/>
        <w:numPr>
          <w:ilvl w:val="0"/>
          <w:numId w:val="1"/>
        </w:numPr>
        <w:spacing w:after="80"/>
      </w:pPr>
      <w:r>
        <w:t>Good and bad leavers. Good leavers typically retain most of their entitlements, sometimes with a holdback to fund a replacement; bad leavers or employees terminated for cause may forfeit significant amounts.</w:t>
      </w:r>
    </w:p>
    <w:p>
      <w:pPr>
        <w:pStyle w:val="ListParagraph"/>
        <w:numPr>
          <w:ilvl w:val="0"/>
          <w:numId w:val="1"/>
        </w:numPr>
        <w:spacing w:after="80"/>
      </w:pPr>
      <w:r>
        <w:t>Cause. Define the misconduct that constitutes cause precisely, and conduct and document a thorough investigation before relying on it to withhold compensation.</w:t>
      </w:r>
    </w:p>
    <w:p>
      <w:pPr>
        <w:pStyle w:val="ListParagraph"/>
        <w:numPr>
          <w:ilvl w:val="0"/>
          <w:numId w:val="1"/>
        </w:numPr>
        <w:spacing w:after="80"/>
      </w:pPr>
      <w:r>
        <w:t>Releases. Condition post-termination payments on a release and waiver of claims.</w:t>
      </w:r>
    </w:p>
    <w:p>
      <w:pPr>
        <w:pStyle w:val="Heading2"/>
        <w:spacing w:after="120" w:before="240"/>
      </w:pPr>
      <w:r>
        <w:rPr>
          <w:b/>
          <w:bCs/>
        </w:rPr>
        <w:t>Restrictive Covenants</w:t>
      </w:r>
    </w:p>
    <w:p>
      <w:pPr>
        <w:pStyle w:val="ListParagraph"/>
        <w:numPr>
          <w:ilvl w:val="0"/>
          <w:numId w:val="1"/>
        </w:numPr>
        <w:spacing w:after="80"/>
      </w:pPr>
      <w:r>
        <w:t>Noncompetes face increasing judicial and legislative scrutiny. A forfeiture-for-competition provision, under which a departing employee forfeits deferred compensation if he or she competes, may be more enforceable than an outright prohibition, particularly in New York, which applies the employee choice doctrine to such provisions.</w:t>
      </w:r>
    </w:p>
    <w:p>
      <w:pPr>
        <w:pStyle w:val="ListParagraph"/>
        <w:numPr>
          <w:ilvl w:val="0"/>
          <w:numId w:val="1"/>
        </w:numPr>
        <w:spacing w:after="80"/>
      </w:pPr>
      <w:r>
        <w:t>Nonsolicitation of employees and investors and confidentiality provisions protecting a fund's track record, trading methodology, financial information, and investor relationships remain central protections.</w:t>
      </w:r>
    </w:p>
    <w:p>
      <w:pPr>
        <w:pStyle w:val="ListParagraph"/>
        <w:numPr>
          <w:ilvl w:val="0"/>
          <w:numId w:val="1"/>
        </w:numPr>
        <w:spacing w:after="80"/>
      </w:pPr>
      <w:r>
        <w:t>Whistleblower carve-outs. Confidentiality and separation agreements must preserve employees' ability to report potential violations to the SEC, the EEOC, and other agencies. See SEC Rule 21F-17, 17 C.F.R. § 240.21F-17.</w:t>
      </w:r>
    </w:p>
    <w:p>
      <w:pPr>
        <w:pStyle w:val="Heading2"/>
        <w:spacing w:after="120" w:before="240"/>
      </w:pPr>
      <w:r>
        <w:rPr>
          <w:b/>
          <w:bCs/>
        </w:rPr>
        <w:t>Key Person Provisions</w:t>
      </w:r>
    </w:p>
    <w:p>
      <w:pPr>
        <w:pStyle w:val="ListParagraph"/>
        <w:numPr>
          <w:ilvl w:val="0"/>
          <w:numId w:val="1"/>
        </w:numPr>
        <w:spacing w:after="80"/>
      </w:pPr>
      <w:r>
        <w:t>Hedge funds. A key person event may give investors a right to redeem or withdraw outside normal liquidity terms.</w:t>
      </w:r>
    </w:p>
    <w:p>
      <w:pPr>
        <w:pStyle w:val="ListParagraph"/>
        <w:numPr>
          <w:ilvl w:val="0"/>
          <w:numId w:val="1"/>
        </w:numPr>
        <w:spacing w:after="80"/>
      </w:pPr>
      <w:r>
        <w:t>Private equity-style funds. A key person event may suspend the investment period, pausing new investments until a replacement is approved, often by a limited partner advisory committee, or investors otherwise consent.</w:t>
      </w:r>
    </w:p>
    <w:p>
      <w:pPr>
        <w:pStyle w:val="ListParagraph"/>
        <w:numPr>
          <w:ilvl w:val="0"/>
          <w:numId w:val="1"/>
        </w:numPr>
        <w:spacing w:after="80"/>
      </w:pPr>
      <w:r>
        <w:t>Drafting. Provisions should specify who the key persons are, what events (death, disability, departure, or failure to devote sufficient time) trigger them, and the notice obligations and investor remedies that follow. Because the provisions are in the fund's governing documents, they are typically negotiated in detail before launch.</w:t>
      </w:r>
    </w:p>
    <w:p>
      <w:pPr>
        <w:pStyle w:val="ListParagraph"/>
        <w:numPr>
          <w:ilvl w:val="0"/>
          <w:numId w:val="1"/>
        </w:numPr>
        <w:spacing w:after="80"/>
      </w:pPr>
      <w:r>
        <w:t>Investor relations. Even where the documents do not require notice of a departure, disclosure may be prudent as a matter of investor relations. Credit facilities typically do not include key person triggers tied to individuals.</w:t>
      </w:r>
    </w:p>
    <w:p>
      <w:pPr>
        <w:pStyle w:val="Heading2"/>
        <w:spacing w:after="120" w:before="240"/>
      </w:pPr>
      <w:r>
        <w:rPr>
          <w:b/>
          <w:bCs/>
        </w:rPr>
        <w:t>Representation and Dispute Resolution</w:t>
      </w:r>
    </w:p>
    <w:p>
      <w:pPr>
        <w:pStyle w:val="ListParagraph"/>
        <w:numPr>
          <w:ilvl w:val="0"/>
          <w:numId w:val="1"/>
        </w:numPr>
        <w:spacing w:after="80"/>
      </w:pPr>
      <w:r>
        <w:t>Entity representation. Once the manager is formed, firm counsel typically represents the entity, not individual principals or employees. In internal investigations, counsel should give an Upjohn warning explaining that counsel represents the company, that the privilege belongs to the company, and that the company may choose to waive it, and should recommend that individuals with legal questions retain their own counsel. See ABA Model Rule 1.13; Upjohn Co. v. United States, 449 U.S. 383 (1981).</w:t>
      </w:r>
    </w:p>
    <w:p>
      <w:pPr>
        <w:pStyle w:val="ListParagraph"/>
        <w:numPr>
          <w:ilvl w:val="0"/>
          <w:numId w:val="1"/>
        </w:numPr>
        <w:spacing w:after="80"/>
      </w:pPr>
      <w:r>
        <w:t>Arbitration. Mandatory arbitration provisions in partnership, shareholder, and employment agreements keep disputes private, but they are subject to state-law restrictions and federal limits, including the exemptions in the Federal Arbitration Act and the Ending Forced Arbitration of Sexual Assault and Sexual Harassment Act of 2021, 9 U.S.C. §§ 401-402.</w:t>
      </w:r>
    </w:p>
    <w:p>
      <w:pPr>
        <w:pStyle w:val="Heading2"/>
        <w:spacing w:after="120" w:before="240"/>
      </w:pPr>
      <w:r>
        <w:rPr>
          <w:b/>
          <w:bCs/>
        </w:rPr>
        <w:t>Provisions That Ease a Departure</w:t>
      </w:r>
    </w:p>
    <w:p>
      <w:pPr>
        <w:pStyle w:val="ListParagraph"/>
        <w:numPr>
          <w:ilvl w:val="0"/>
          <w:numId w:val="1"/>
        </w:numPr>
        <w:spacing w:after="80"/>
      </w:pPr>
      <w:r>
        <w:t>Cooperation clauses requiring former employees to assist with investigations and other matters arising from their tenure.</w:t>
      </w:r>
    </w:p>
    <w:p>
      <w:pPr>
        <w:pStyle w:val="ListParagraph"/>
        <w:numPr>
          <w:ilvl w:val="0"/>
          <w:numId w:val="1"/>
        </w:numPr>
        <w:spacing w:after="80"/>
      </w:pPr>
      <w:r>
        <w:t>Powers of attorney allowing remaining principals to execute documents on behalf of a departed partner, for example for special purpose vehicles or carried interest entities.</w:t>
      </w:r>
    </w:p>
    <w:p>
      <w:pPr>
        <w:pStyle w:val="ListParagraph"/>
        <w:numPr>
          <w:ilvl w:val="0"/>
          <w:numId w:val="1"/>
        </w:numPr>
        <w:spacing w:after="80"/>
      </w:pPr>
      <w:r>
        <w:t>Clear restrictive covenants and confidentiality provisions, whistleblower carve-outs, and dispute resolution terms agreed at the outset, when they are far easier to negotiate than at exit.</w:t>
      </w:r>
    </w:p>
    <w:p>
      <w:pPr>
        <w:pStyle w:val="Heading2"/>
        <w:spacing w:after="120" w:before="240"/>
      </w:pPr>
      <w:r>
        <w:rPr>
          <w:b/>
          <w:bCs/>
        </w:rPr>
        <w:t>Developments to Know</w:t>
      </w:r>
    </w:p>
    <w:p>
      <w:pPr>
        <w:pStyle w:val="ListParagraph"/>
        <w:numPr>
          <w:ilvl w:val="0"/>
          <w:numId w:val="1"/>
        </w:numPr>
        <w:spacing w:after="80"/>
      </w:pPr>
      <w:r>
        <w:t>FTC noncompete rule. The FTC's April 2024 rule banning most noncompete agreements was set aside nationwide by the U.S. District Court for the Northern District of Texas in Ryan LLC v. FTC (Aug. 20, 2024), before its effective date. In September 2025, the FTC voted to dismiss its appeals and accede to vacatur, and it has shifted to case-by-case enforcement against noncompetes it considers unfair methods of competition.</w:t>
      </w:r>
    </w:p>
    <w:p>
      <w:pPr>
        <w:pStyle w:val="ListParagraph"/>
        <w:numPr>
          <w:ilvl w:val="0"/>
          <w:numId w:val="1"/>
        </w:numPr>
        <w:spacing w:after="80"/>
      </w:pPr>
      <w:r>
        <w:t>State law. Noncompete enforceability remains governed primarily by state law, which varies widely and continues to change, with several states banning or limiting noncompetes, particularly for lower-wage workers.</w:t>
      </w:r>
    </w:p>
    <w:p>
      <w:pPr>
        <w:pStyle w:val="ListParagraph"/>
        <w:numPr>
          <w:ilvl w:val="0"/>
          <w:numId w:val="1"/>
        </w:numPr>
        <w:spacing w:after="80"/>
      </w:pPr>
      <w:r>
        <w:t>Whistleblower protections. The SEC has continued to bring settled enforcement actions under Rule 21F-17 against firms whose employment, separation, or confidentiality agreements impeded employees from communicating with the SEC.</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TalksOnLaw</dc:creator>
  <cp:lastModifiedBy>Un-named</cp:lastModifiedBy>
  <cp:revision>1</cp:revision>
  <dcterms:created xsi:type="dcterms:W3CDTF">2026-09-28T18:13:13.289Z</dcterms:created>
  <dcterms:modified xsi:type="dcterms:W3CDTF">2026-09-28T18:13:13.289Z</dcterms:modified>
  <dc:title>WV v. EPA and the Major Questions Doctrine</dc:title>
</cp:coreProperties>
</file>

<file path=docProps/custom.xml><?xml version="1.0" encoding="utf-8"?>
<Properties xmlns="http://schemas.openxmlformats.org/officeDocument/2006/custom-properties" xmlns:vt="http://schemas.openxmlformats.org/officeDocument/2006/docPropsVTypes"/>
</file>