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When Lawyers Break the Law</w:t>
      </w:r>
    </w:p>
    <w:p>
      <w:pPr>
        <w:spacing w:after="200"/>
      </w:pPr>
      <w:r>
        <w:rPr>
          <w:rFonts w:ascii="Montserrat" w:cs="Montserrat" w:eastAsia="Montserrat" w:hAnsi="Montserrat"/>
          <w:b/>
          <w:bCs/>
          <w:color w:val="E87722"/>
          <w:sz w:val="24"/>
          <w:szCs w:val="24"/>
        </w:rPr>
        <w:t xml:space="preserve">Hal R. Lieberman</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the professional consequences that follow when a lawyer commits a crime. It addresses the relationship between criminal conduct and fitness to practice under the Rules of Professional Conduct, New York's automatic disbarment rule for felony convictions, the "serious crime" category, self-reporting obligations, the meaning of disbarment and the reinstatement process, the line between advising a client and assisting client crime, the treatment of substance abuse in lawyer discipline, and the duty to report another lawyer's misconduct.</w:t>
      </w:r>
    </w:p>
    <w:p>
      <w:pPr>
        <w:pStyle w:val="Heading2"/>
        <w:spacing w:after="120" w:before="240"/>
      </w:pPr>
      <w:r>
        <w:rPr>
          <w:b/>
          <w:bCs/>
        </w:rPr>
        <w:t xml:space="preserve">Criminal Conduct and Fitness to Practice</w:t>
      </w:r>
    </w:p>
    <w:p>
      <w:pPr>
        <w:spacing w:after="160"/>
      </w:pPr>
      <w:r>
        <w:t xml:space="preserve">Rule 8.4(b) of the New York Rules of Professional Conduct provides that a lawyer shall not engage in illegal conduct that adversely reflects on the lawyer's honesty, trustworthiness, or fitness as a lawyer. Rule 8.4(c) prohibits conduct involving dishonesty, fraud, deceit, or misrepresentation; Rule 8.4(d) prohibits conduct prejudicial to the administration of justice; and Rule 8.4(h) prohibits any other conduct that adversely reflects on fitness. The guest explains that not all illegal conduct is disciplinable, that the rule confers discretion on disciplinary authorities to determine whether particular conduct reflects on fitness, and that lawyers are held to a heightened standard because of their obligations as officers of the court.</w:t>
      </w:r>
    </w:p>
    <w:p>
      <w:pPr>
        <w:pStyle w:val="Heading2"/>
        <w:spacing w:after="120" w:before="240"/>
      </w:pPr>
      <w:r>
        <w:rPr>
          <w:b/>
          <w:bCs/>
        </w:rPr>
        <w:t xml:space="preserve">Felony Convictions and Automatic Disbarment</w:t>
      </w:r>
    </w:p>
    <w:p>
      <w:pPr>
        <w:spacing w:after="160"/>
      </w:pPr>
      <w:r>
        <w:t xml:space="preserve">Judiciary Law § 90(4)(a) provides that an attorney convicted of a felony under New York law, or of an offense elsewhere that would constitute a felony in New York, ceases to be an attorney upon conviction. Disbarment is automatic and the Appellate Division's order striking the name from the roll is ministerial. In Matter of Mitchell (N.Y. 1976), the Court of Appeals held that automatic disbarment follows conviction notwithstanding a pending appeal, and that reversal of the conviction would restore the attorney's status. The guest emphasizes that the felony need not relate to the practice of law.</w:t>
      </w:r>
    </w:p>
    <w:p>
      <w:pPr>
        <w:pStyle w:val="Heading2"/>
        <w:spacing w:after="120" w:before="240"/>
      </w:pPr>
      <w:r>
        <w:rPr>
          <w:b/>
          <w:bCs/>
        </w:rPr>
        <w:t xml:space="preserve">Serious Crimes</w:t>
      </w:r>
    </w:p>
    <w:p>
      <w:pPr>
        <w:spacing w:after="160"/>
      </w:pPr>
      <w:r>
        <w:t xml:space="preserve">Judiciary Law § 90(4)(d) defines a "serious crime" as any felony not resulting in automatic disbarment and any crime, wherever committed, a necessary element of which includes interference with the administration of justice, false swearing, misrepresentation, fraud, willful failure to file tax returns, deceit, bribery, extortion, misappropriation, theft, or an attempt, conspiracy, or solicitation to commit any of these. Conviction of a serious crime results in suspension pending a hearing on the appropriate sanction. The guest notes that federal felonies without a New York felony analog, including certain tax offenses, fall within this category.</w:t>
      </w:r>
    </w:p>
    <w:p>
      <w:pPr>
        <w:pStyle w:val="Heading2"/>
        <w:spacing w:after="120" w:before="240"/>
      </w:pPr>
      <w:r>
        <w:rPr>
          <w:b/>
          <w:bCs/>
        </w:rPr>
        <w:t xml:space="preserve">Self-Reporting and Cooperation</w:t>
      </w:r>
    </w:p>
    <w:p>
      <w:pPr>
        <w:spacing w:after="160"/>
      </w:pPr>
      <w:r>
        <w:t xml:space="preserve">Judiciary Law § 90(4)(c) and the disciplinary rules require an attorney convicted of a crime to report the conviction to the Appellate Division. The guest explains that failure to self-report is charged as conduct prejudicial to the administration of justice, that the obligation extends to out-of-state convictions, and that disciplinary proceedings based on criminal conduct are triggered by a plea or verdict rather than by arrest or investigation.</w:t>
      </w:r>
    </w:p>
    <w:p>
      <w:pPr>
        <w:pStyle w:val="Heading2"/>
        <w:spacing w:after="120" w:before="240"/>
      </w:pPr>
      <w:r>
        <w:rPr>
          <w:b/>
          <w:bCs/>
        </w:rPr>
        <w:t xml:space="preserve">Disbarment, Suspension, and Reinstatement</w:t>
      </w:r>
    </w:p>
    <w:p>
      <w:pPr>
        <w:spacing w:after="160"/>
      </w:pPr>
      <w:r>
        <w:t xml:space="preserve">Under Judiciary Law § 90(5)(a), a disbarred attorney may apply for reinstatement no earlier than seven years after the effective date of disbarment. A disbarred or suspended attorney must file an affidavit of compliance demonstrating notification of clients, courts, and opposing counsel, and must refrain from practicing law or holding out as a lawyer. The reinstatement applicant must notify the Lawyers' Fund for Client Protection, established under Judiciary Law § 468-b, and the court considers compliance with the order, the nature of the underlying misconduct, restitution to victims, and present character and fitness. The guest observes that continued assertion of innocence following a conviction weighs heavily against reinstatement, and that some offenses are severe enough that reinstatement is unlikely regardless of elapsed time.</w:t>
      </w:r>
    </w:p>
    <w:p>
      <w:pPr>
        <w:pStyle w:val="Heading2"/>
        <w:spacing w:after="120" w:before="240"/>
      </w:pPr>
      <w:r>
        <w:rPr>
          <w:b/>
          <w:bCs/>
        </w:rPr>
        <w:t xml:space="preserve">Assisting a Client's Criminal or Fraudulent Conduct</w:t>
      </w:r>
    </w:p>
    <w:p>
      <w:pPr>
        <w:spacing w:after="160"/>
      </w:pPr>
      <w:r>
        <w:t xml:space="preserve">Rule 1.2(d) provides that a lawyer shall not counsel a client to engage, or assist a client, in conduct the lawyer knows is illegal or fraudulent, but may discuss the legal consequences of any proposed course of conduct. The guest illustrates the line with a client's request for information about countries lacking extradition treaties, and explains that the analysis turns on the lawyer's knowledge and intent, paralleling the mental-state requirements of criminal law. Rule 1.6 similarly prohibits knowing disclosure of confidential information, and the guest notes that inadvertent or negligent disclosure, while not desirable, does not violate that rule.</w:t>
      </w:r>
    </w:p>
    <w:p>
      <w:pPr>
        <w:pStyle w:val="Heading2"/>
        <w:spacing w:after="120" w:before="240"/>
      </w:pPr>
      <w:r>
        <w:rPr>
          <w:b/>
          <w:bCs/>
        </w:rPr>
        <w:t xml:space="preserve">Substance Abuse, Mitigation, and Diversion</w:t>
      </w:r>
    </w:p>
    <w:p>
      <w:pPr>
        <w:spacing w:after="160"/>
      </w:pPr>
      <w:r>
        <w:t xml:space="preserve">The guest distinguishes alcohol abuse, which is lawful and has been treated by the courts as a mitigating circumstance, from use of controlled substances, which is itself illegal conduct within Rule 8.4(b) and may be treated as aggravating. He identifies neglect of client matters under Rule 1.3 as the most common harm associated with impairment, and describes lawyer assistance programs, staffed by volunteer lawyers in recovery, as the profession's principal mechanism for addressing impairment while protecting clients. Billing a client for time during which no work was performed constitutes billing fraud under Rules 1.5 and 8.4(c) irrespective of the cause.</w:t>
      </w:r>
    </w:p>
    <w:p>
      <w:pPr>
        <w:pStyle w:val="Heading2"/>
        <w:spacing w:after="120" w:before="240"/>
      </w:pPr>
      <w:r>
        <w:rPr>
          <w:b/>
          <w:bCs/>
        </w:rPr>
        <w:t xml:space="preserve">The Duty to Report Misconduct</w:t>
      </w:r>
    </w:p>
    <w:p>
      <w:pPr>
        <w:spacing w:after="160"/>
      </w:pPr>
      <w:r>
        <w:t xml:space="preserve">Rule 8.3(a) requires a lawyer who knows that another lawyer has committed a violation of the Rules that raises a substantial question as to that lawyer's honesty, trustworthiness, or fitness to report the violation to a tribunal or other authority empowered to investigate. The duty requires actual knowledge rather than suspicion and applies only to serious violations. Rule 8.3(c) exempts information protected by Rule 1.6 and information gained by a lawyer while participating in a bona fide lawyer assistance program. The guest observes that reported cases of discipline for failure to report are rare.</w:t>
      </w:r>
    </w:p>
    <w:p>
      <w:pPr>
        <w:pStyle w:val="Heading2"/>
        <w:spacing w:after="120" w:before="240"/>
      </w:pPr>
      <w:r>
        <w:rPr>
          <w:b/>
          <w:bCs/>
        </w:rPr>
        <w:t xml:space="preserve">Developments to Know</w:t>
      </w:r>
    </w:p>
    <w:p>
      <w:pPr>
        <w:spacing w:after="160"/>
      </w:pPr>
      <w:r>
        <w:t xml:space="preserve">Effective October 1, 2016, the Appellate Divisions adopted the Rules for Attorney Disciplinary Matters, 22 NYCRR Part 1240, establishing uniform statewide procedures in place of the separate rules of the four Departments. Section 1240.12 governs attorney criminal convictions, providing for automatic disbarment upon a felony conviction, interim suspension and a hearing on sanction upon a serious-crime conviction, and a requirement that the attorney report any conviction to the Appellate Division within thirty days. Section 1240.16 governs reinstatement and retains the seven-year waiting period for disbarred attorneys, with an application requiring proof of compliance, payment of restitution, and character and fitness. Section 1240.11 formalizes diversion to a monitoring program where misconduct is attributable to alcohol, drug, or mental health problems. The Marihuana Regulation and Taxation Act, enacted March 31, 2021, legalized adult-use cannabis in New York, removing simple possession and use from the category of illegal conduct under Rule 8.4(b). A 2016 study by the ABA Commission on Lawyer Assistance Programs and the Hazelden Betty Ford Foundation, published in the Journal of Addiction Medicine, reported that approximately 21 percent of practicing lawyers surveyed screened positive for problematic drinking, with elevated rates among lawyers in their first ten years of practice. Michael Cohen was automatically disbarred by the Appellate Division, First Department, in 2019 following his federal felony plea. Rudolph Giuliani was disbarred by the First Department in 2024 and by the District of Columbia Court of Appeals in 2025 for false statements and conduct prejudicial to the administration of justice, without a criminal conviction.</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2026-09-24T05:27:27.073Z</dcterms:created>
  <dcterms:modified xsi:type="dcterms:W3CDTF">2026-09-24T05:27:27.073Z</dcterms:modified>
</cp:coreProperties>
</file>

<file path=docProps/custom.xml><?xml version="1.0" encoding="utf-8"?>
<Properties xmlns="http://schemas.openxmlformats.org/officeDocument/2006/custom-properties" xmlns:vt="http://schemas.openxmlformats.org/officeDocument/2006/docPropsVTypes"/>
</file>