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Mindfulness &amp; Attorney Stress</w:t>
      </w:r>
    </w:p>
    <w:p>
      <w:pPr>
        <w:spacing w:after="200"/>
      </w:pPr>
      <w:r>
        <w:rPr>
          <w:rFonts w:ascii="Montserrat" w:cs="Montserrat" w:eastAsia="Montserrat" w:hAnsi="Montserrat"/>
          <w:b/>
          <w:bCs/>
          <w:color w:val="E87722"/>
          <w:sz w:val="24"/>
          <w:szCs w:val="24"/>
        </w:rPr>
        <w:t>Prof. Nathalie Martin, University of New Mexico School of Law</w:t>
      </w:r>
    </w:p>
    <w:p>
      <w:pPr>
        <w:pStyle w:val="Heading2"/>
        <w:spacing w:after="120" w:before="240"/>
      </w:pPr>
      <w:r>
        <w:rPr>
          <w:b/>
          <w:bCs/>
        </w:rPr>
        <w:t>Overview</w:t>
      </w:r>
    </w:p>
    <w:p>
      <w:pPr>
        <w:spacing w:after="160"/>
      </w:pPr>
      <w:r>
        <w:t>This program examines the sources of stress in the legal profession and how mindfulness practice can help lawyers manage it. Professor Nathalie Martin, author of Lawyering from the Inside Out: Learning Professional Development through Mindfulness and Emotional Intelligence (Cambridge University Press, 2018), explains how legal education and practice culture contribute to stress and problem drinking, describes formal and informal mindfulness practices that fit into a working day, and discusses how mindfulness supports emotional intelligence, client relationships, and healthier workplaces. The interview was recorded in 2021; the Developments to Know section summarizes later changes.</w:t>
      </w:r>
    </w:p>
    <w:p>
      <w:pPr>
        <w:pStyle w:val="Heading2"/>
        <w:spacing w:after="120" w:before="240"/>
      </w:pPr>
      <w:r>
        <w:rPr>
          <w:b/>
          <w:bCs/>
        </w:rPr>
        <w:t>Learning Objectives</w:t>
      </w:r>
    </w:p>
    <w:p>
      <w:pPr>
        <w:pStyle w:val="ListParagraph"/>
        <w:numPr>
          <w:ilvl w:val="0"/>
          <w:numId w:val="1"/>
        </w:numPr>
        <w:spacing w:after="80"/>
      </w:pPr>
      <w:r>
        <w:t>Identify features of legal education and law practice that contribute to stress, anxiety, and problem drinking among lawyers.</w:t>
      </w:r>
    </w:p>
    <w:p>
      <w:pPr>
        <w:pStyle w:val="ListParagraph"/>
        <w:numPr>
          <w:ilvl w:val="0"/>
          <w:numId w:val="1"/>
        </w:numPr>
        <w:spacing w:after="80"/>
      </w:pPr>
      <w:r>
        <w:t>Describe the basic elements of a formal mindfulness practice and several informal practices that can be integrated into the workday.</w:t>
      </w:r>
    </w:p>
    <w:p>
      <w:pPr>
        <w:pStyle w:val="ListParagraph"/>
        <w:numPr>
          <w:ilvl w:val="0"/>
          <w:numId w:val="1"/>
        </w:numPr>
        <w:spacing w:after="80"/>
      </w:pPr>
      <w:r>
        <w:t>Explain how mindfulness supports self-regulation and emotional intelligence in negotiations, client counseling, and workplace conflict.</w:t>
      </w:r>
    </w:p>
    <w:p>
      <w:pPr>
        <w:pStyle w:val="ListParagraph"/>
        <w:numPr>
          <w:ilvl w:val="0"/>
          <w:numId w:val="1"/>
        </w:numPr>
        <w:spacing w:after="80"/>
      </w:pPr>
      <w:r>
        <w:t>Recognize the risk of compassion fatigue in client work and strategies for maintaining appropriate boundaries.</w:t>
      </w:r>
    </w:p>
    <w:p>
      <w:pPr>
        <w:pStyle w:val="ListParagraph"/>
        <w:numPr>
          <w:ilvl w:val="0"/>
          <w:numId w:val="1"/>
        </w:numPr>
        <w:spacing w:after="80"/>
      </w:pPr>
      <w:r>
        <w:t>Evaluate steps legal employers can take to support lawyer well-being, and identify confidential resources such as Lawyer Assistance Programs.</w:t>
      </w:r>
    </w:p>
    <w:p>
      <w:pPr>
        <w:pStyle w:val="Heading2"/>
        <w:spacing w:after="120" w:before="240"/>
      </w:pPr>
      <w:r>
        <w:rPr>
          <w:b/>
          <w:bCs/>
        </w:rPr>
        <w:t>Sources of Lawyer Stress</w:t>
      </w:r>
    </w:p>
    <w:p>
      <w:pPr>
        <w:pStyle w:val="ListParagraph"/>
        <w:numPr>
          <w:ilvl w:val="0"/>
          <w:numId w:val="1"/>
        </w:numPr>
        <w:spacing w:after="80"/>
      </w:pPr>
      <w:r>
        <w:t>Legal education. Martin argues that the stress begins in law school, where the Socratic method, cold calling, and a culture that prizes overwork are justified as preparation for adversarial practice.</w:t>
      </w:r>
    </w:p>
    <w:p>
      <w:pPr>
        <w:pStyle w:val="ListParagraph"/>
        <w:numPr>
          <w:ilvl w:val="0"/>
          <w:numId w:val="1"/>
        </w:numPr>
        <w:spacing w:after="80"/>
      </w:pPr>
      <w:r>
        <w:t>Practice culture. Billable hours, client emergencies, constant availability by smartphone, and a work-hard, play-hard culture keep pressure high, particularly for junior lawyers who are reluctant to set boundaries.</w:t>
      </w:r>
    </w:p>
    <w:p>
      <w:pPr>
        <w:pStyle w:val="ListParagraph"/>
        <w:numPr>
          <w:ilvl w:val="0"/>
          <w:numId w:val="1"/>
        </w:numPr>
        <w:spacing w:after="80"/>
      </w:pPr>
      <w:r>
        <w:t>Substance use. Martin cites the 2016 ABA and Hazelden Betty Ford Foundation study (Krill, Johnson, and Albert, Journal of Addiction Medicine), which found that about 20 percent of the lawyers surveyed screened positive for problematic drinking.</w:t>
      </w:r>
    </w:p>
    <w:p>
      <w:pPr>
        <w:pStyle w:val="ListParagraph"/>
        <w:numPr>
          <w:ilvl w:val="0"/>
          <w:numId w:val="1"/>
        </w:numPr>
        <w:spacing w:after="80"/>
      </w:pPr>
      <w:r>
        <w:t>Boundaries. Lawyers who set and communicate non-negotiable limits, such as time reserved for family, are generally respected for it, and employers that burn people out pay for it in attrition.</w:t>
      </w:r>
    </w:p>
    <w:p>
      <w:pPr>
        <w:pStyle w:val="Heading2"/>
        <w:spacing w:after="120" w:before="240"/>
      </w:pPr>
      <w:r>
        <w:rPr>
          <w:b/>
          <w:bCs/>
        </w:rPr>
        <w:t>Formal and Informal Practice</w:t>
      </w:r>
    </w:p>
    <w:p>
      <w:pPr>
        <w:pStyle w:val="ListParagraph"/>
        <w:numPr>
          <w:ilvl w:val="0"/>
          <w:numId w:val="1"/>
        </w:numPr>
        <w:spacing w:after="80"/>
      </w:pPr>
      <w:r>
        <w:t>Definition. Mindfulness means living in the present moment rather than dwelling on the past or worrying about the future, and slowing down enough to notice how one's time and attention are spent.</w:t>
      </w:r>
    </w:p>
    <w:p>
      <w:pPr>
        <w:pStyle w:val="ListParagraph"/>
        <w:numPr>
          <w:ilvl w:val="0"/>
          <w:numId w:val="1"/>
        </w:numPr>
        <w:spacing w:after="80"/>
      </w:pPr>
      <w:r>
        <w:t>Breath practice. Attend to the in-breath, the out-breath, and the space between; when a thought arises, notice it without judgment and return to the breath.</w:t>
      </w:r>
    </w:p>
    <w:p>
      <w:pPr>
        <w:pStyle w:val="ListParagraph"/>
        <w:numPr>
          <w:ilvl w:val="0"/>
          <w:numId w:val="1"/>
        </w:numPr>
        <w:spacing w:after="80"/>
      </w:pPr>
      <w:r>
        <w:t>Formal practice. Sit upright with feet on the ground for a set period, starting with about six minutes a day and adding time gradually toward 15 minutes. Martin suggests trying it for a week and assessing the difference.</w:t>
      </w:r>
    </w:p>
    <w:p>
      <w:pPr>
        <w:pStyle w:val="ListParagraph"/>
        <w:numPr>
          <w:ilvl w:val="0"/>
          <w:numId w:val="1"/>
        </w:numPr>
        <w:spacing w:after="80"/>
      </w:pPr>
      <w:r>
        <w:t>Informal practice. Break long document review into segments and move between them, take three breaths when the phone rings, or pause at each doorknob. Apps such as Calm, Insight Timer, and Headspace can guide practice.</w:t>
      </w:r>
    </w:p>
    <w:p>
      <w:pPr>
        <w:pStyle w:val="ListParagraph"/>
        <w:numPr>
          <w:ilvl w:val="0"/>
          <w:numId w:val="1"/>
        </w:numPr>
        <w:spacing w:after="80"/>
      </w:pPr>
      <w:r>
        <w:t>Watching thoughts. Noting what one is thinking (metacognition) reveals negative self-talk; recognizing that 'we are not our thoughts' allows a lawyer to stop and return to the breath.</w:t>
      </w:r>
    </w:p>
    <w:p>
      <w:pPr>
        <w:pStyle w:val="ListParagraph"/>
        <w:numPr>
          <w:ilvl w:val="0"/>
          <w:numId w:val="1"/>
        </w:numPr>
        <w:spacing w:after="80"/>
      </w:pPr>
      <w:r>
        <w:t>Mantras and gratitude. Short, personally tailored affirmations (for example, 'I do enough, I am enough, I have enough') and a daily practice of writing down three things one is grateful for.</w:t>
      </w:r>
    </w:p>
    <w:p>
      <w:pPr>
        <w:pStyle w:val="Heading2"/>
        <w:spacing w:after="120" w:before="240"/>
      </w:pPr>
      <w:r>
        <w:rPr>
          <w:b/>
          <w:bCs/>
        </w:rPr>
        <w:t>Emotional Intelligence and Client Work</w:t>
      </w:r>
    </w:p>
    <w:p>
      <w:pPr>
        <w:pStyle w:val="ListParagraph"/>
        <w:numPr>
          <w:ilvl w:val="0"/>
          <w:numId w:val="1"/>
        </w:numPr>
        <w:spacing w:after="80"/>
      </w:pPr>
      <w:r>
        <w:t>Self-regulation. Mindfulness creates space between a feeling and a reaction, for example waiting before responding to an aggressive email, or asking an aggressive opponent what prompted a remark instead of responding in kind.</w:t>
      </w:r>
    </w:p>
    <w:p>
      <w:pPr>
        <w:pStyle w:val="ListParagraph"/>
        <w:numPr>
          <w:ilvl w:val="0"/>
          <w:numId w:val="1"/>
        </w:numPr>
        <w:spacing w:after="80"/>
      </w:pPr>
      <w:r>
        <w:t>Shifting awareness. Attending to what others are experiencing, rather than assuming everyone is focused on us, improves negotiation and listening.</w:t>
      </w:r>
    </w:p>
    <w:p>
      <w:pPr>
        <w:pStyle w:val="ListParagraph"/>
        <w:numPr>
          <w:ilvl w:val="0"/>
          <w:numId w:val="1"/>
        </w:numPr>
        <w:spacing w:after="80"/>
      </w:pPr>
      <w:r>
        <w:t>Compassion and boundaries. Lawyers must show clients compassion without being pulled into their distress, and must take care of themselves afterward to avoid compassion fatigue.</w:t>
      </w:r>
    </w:p>
    <w:p>
      <w:pPr>
        <w:pStyle w:val="ListParagraph"/>
        <w:numPr>
          <w:ilvl w:val="0"/>
          <w:numId w:val="1"/>
        </w:numPr>
        <w:spacing w:after="80"/>
      </w:pPr>
      <w:r>
        <w:t>Non-attachment. After doing one's best work, letting go of outcomes outside one's control reduces needless agitation.</w:t>
      </w:r>
    </w:p>
    <w:p>
      <w:pPr>
        <w:pStyle w:val="ListParagraph"/>
        <w:numPr>
          <w:ilvl w:val="0"/>
          <w:numId w:val="1"/>
        </w:numPr>
        <w:spacing w:after="80"/>
      </w:pPr>
      <w:r>
        <w:t>Vulnerability. Martin notes research suggesting that physicians who acknowledge and apologize for mistakes are sued less often, and argues that candor about mistakes strengthens lawyers' relationships with clients and colleagues.</w:t>
      </w:r>
    </w:p>
    <w:p>
      <w:pPr>
        <w:pStyle w:val="Heading2"/>
        <w:spacing w:after="120" w:before="240"/>
      </w:pPr>
      <w:r>
        <w:rPr>
          <w:b/>
          <w:bCs/>
        </w:rPr>
        <w:t>What Employers Can Do</w:t>
      </w:r>
    </w:p>
    <w:p>
      <w:pPr>
        <w:pStyle w:val="ListParagraph"/>
        <w:numPr>
          <w:ilvl w:val="0"/>
          <w:numId w:val="1"/>
        </w:numPr>
        <w:spacing w:after="80"/>
      </w:pPr>
      <w:r>
        <w:t>Create space for open conversation about stress and well-being, and acknowledge alcohol risks without making them the only topic.</w:t>
      </w:r>
    </w:p>
    <w:p>
      <w:pPr>
        <w:pStyle w:val="ListParagraph"/>
        <w:numPr>
          <w:ilvl w:val="0"/>
          <w:numId w:val="1"/>
        </w:numPr>
        <w:spacing w:after="80"/>
      </w:pPr>
      <w:r>
        <w:t>Offer social events that are not centered on alcohol, along with wellness programming such as mindfulness and yoga classes.</w:t>
      </w:r>
    </w:p>
    <w:p>
      <w:pPr>
        <w:pStyle w:val="ListParagraph"/>
        <w:numPr>
          <w:ilvl w:val="0"/>
          <w:numId w:val="1"/>
        </w:numPr>
        <w:spacing w:after="80"/>
      </w:pPr>
      <w:r>
        <w:t>Provide resources and staff dedicated to well-being, and consider physical space for meditation or exercise.</w:t>
      </w:r>
    </w:p>
    <w:p>
      <w:pPr>
        <w:pStyle w:val="ListParagraph"/>
        <w:numPr>
          <w:ilvl w:val="0"/>
          <w:numId w:val="1"/>
        </w:numPr>
        <w:spacing w:after="80"/>
      </w:pPr>
      <w:r>
        <w:t>Use the ABA's well-being resources, including its toolkit for lawyers and legal employers, as a starting point.</w:t>
      </w:r>
    </w:p>
    <w:p>
      <w:pPr>
        <w:pStyle w:val="Heading2"/>
        <w:spacing w:after="120" w:before="240"/>
      </w:pPr>
      <w:r>
        <w:rPr>
          <w:b/>
          <w:bCs/>
        </w:rPr>
        <w:t>Developments to Know</w:t>
      </w:r>
    </w:p>
    <w:p>
      <w:pPr>
        <w:pStyle w:val="ListParagraph"/>
        <w:numPr>
          <w:ilvl w:val="0"/>
          <w:numId w:val="1"/>
        </w:numPr>
        <w:spacing w:after="80"/>
      </w:pPr>
      <w:r>
        <w:t>Well-being CLE. Minnesota requires at least one credit in mental health and substance use in each reporting cycle beginning July 1, 2024. States such as California, Nevada, and South Carolina require credit in related areas, and the ABA's Model Rule for Minimum Continuing Legal Education recommends one hour every three years.</w:t>
      </w:r>
    </w:p>
    <w:p>
      <w:pPr>
        <w:pStyle w:val="ListParagraph"/>
        <w:numPr>
          <w:ilvl w:val="0"/>
          <w:numId w:val="1"/>
        </w:numPr>
        <w:spacing w:after="80"/>
      </w:pPr>
      <w:r>
        <w:t>ABA Well-Being Pledge. The ABA's pledge campaign for legal employers continues to set out a framework for firm-wide well-being programs.</w:t>
      </w:r>
    </w:p>
    <w:p>
      <w:pPr>
        <w:pStyle w:val="ListParagraph"/>
        <w:numPr>
          <w:ilvl w:val="0"/>
          <w:numId w:val="1"/>
        </w:numPr>
        <w:spacing w:after="80"/>
      </w:pPr>
      <w:r>
        <w:t>Lawyer Assistance Programs. Every state offers a confidential Lawyer Assistance Program for lawyers dealing with substance use, mental health, or stress.</w:t>
      </w:r>
    </w:p>
    <w:p>
      <w:pPr>
        <w:pStyle w:val="ListParagraph"/>
        <w:numPr>
          <w:ilvl w:val="0"/>
          <w:numId w:val="1"/>
        </w:numPr>
        <w:spacing w:after="80"/>
      </w:pPr>
      <w:r>
        <w:t>Professor Martin's most recent book is The Inspired Retirement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TalksOnLaw</dc:creator>
  <cp:lastModifiedBy>Un-named</cp:lastModifiedBy>
  <cp:revision>1</cp:revision>
  <dcterms:created xsi:type="dcterms:W3CDTF">2026-09-28T18:13:13.289Z</dcterms:created>
  <dcterms:modified xsi:type="dcterms:W3CDTF">2026-09-28T18:13:13.289Z</dcterms:modified>
  <dc:title>WV v. EPA and the Major Questions Doctrine</dc:title>
</cp:coreProperties>
</file>

<file path=docProps/custom.xml><?xml version="1.0" encoding="utf-8"?>
<Properties xmlns="http://schemas.openxmlformats.org/officeDocument/2006/custom-properties" xmlns:vt="http://schemas.openxmlformats.org/officeDocument/2006/docPropsVTypes"/>
</file>