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Police Technology - From Body Cameras to Facial Recognition</w:t>
      </w:r>
    </w:p>
    <w:p>
      <w:pPr>
        <w:spacing w:after="200"/>
      </w:pPr>
      <w:r>
        <w:rPr>
          <w:rFonts w:ascii="Montserrat" w:cs="Montserrat" w:eastAsia="Montserrat" w:hAnsi="Montserrat"/>
          <w:b/>
          <w:bCs/>
          <w:color w:val="E87722"/>
          <w:sz w:val="24"/>
          <w:szCs w:val="24"/>
        </w:rPr>
        <w:t xml:space="preserve">Prof. I. Bennett Capers</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legal issues raised by emerging police technologies, including body-worn cameras, public surveillance networks, facial recognition, long-range weapons detection, automated suspicion algorithms, and the use of large-scale data in law enforcement. The discussion situates these tools within Fourth Amendment doctrine and the equal-protection concerns raised by discriminatory policing, and considers whether technology can serve as a check on police discretion as well as an instrument of it.</w:t>
      </w:r>
    </w:p>
    <w:p>
      <w:pPr>
        <w:pStyle w:val="Heading2"/>
        <w:spacing w:after="120" w:before="240"/>
      </w:pPr>
      <w:r>
        <w:rPr>
          <w:b/>
          <w:bCs/>
        </w:rPr>
        <w:t xml:space="preserve">Body-Worn Cameras: Purpose and Adoption</w:t>
      </w:r>
    </w:p>
    <w:p>
      <w:pPr>
        <w:spacing w:after="160"/>
      </w:pPr>
      <w:r>
        <w:t xml:space="preserve">Body-worn cameras are externally facing recording devices worn by officers during encounters with the public. Their principal justification is accountability through transparency, a rationale that gained urgency following a series of police killings of unarmed citizens documented by bystander video. The federal government promoted their adoption, and in Floyd v. City of New York, the litigation challenging the New York City Police Department's stop-and-frisk practices, the district court required the department to pilot body cameras as part of the remedy. Civilian oversight bodies have sought their broader use, including during the execution of search warrants.</w:t>
      </w:r>
    </w:p>
    <w:p>
      <w:pPr>
        <w:pStyle w:val="Heading2"/>
        <w:spacing w:after="120" w:before="240"/>
      </w:pPr>
      <w:r>
        <w:rPr>
          <w:b/>
          <w:bCs/>
        </w:rPr>
        <w:t xml:space="preserve">Control of and Access to Footage</w:t>
      </w:r>
    </w:p>
    <w:p>
      <w:pPr>
        <w:spacing w:after="160"/>
      </w:pPr>
      <w:r>
        <w:t xml:space="preserve">A central unresolved issue is that police departments control the footage their cameras capture and are under no general obligation to release it. Body cameras also record only the officer's perspective, which may support an officer's account of a use of force while omitting context a third-party camera would capture. The guest advocates public access to surveillance footage through a defined process, noting that recordings serve officers as well as citizens by rebutting false complaints and documenting appropriate conduct. Additional concerns include an officer's ability to deactivate a camera, the recording of private residences and uninvolved bystanders, and the security of the resulting data.</w:t>
      </w:r>
    </w:p>
    <w:p>
      <w:pPr>
        <w:pStyle w:val="Heading2"/>
        <w:spacing w:after="120" w:before="240"/>
      </w:pPr>
      <w:r>
        <w:rPr>
          <w:b/>
          <w:bCs/>
        </w:rPr>
        <w:t xml:space="preserve">Public Surveillance Networks</w:t>
      </w:r>
    </w:p>
    <w:p>
      <w:pPr>
        <w:spacing w:after="160"/>
      </w:pPr>
      <w:r>
        <w:t xml:space="preserve">Large cities maintain extensive networks of public surveillance cameras, frequently interconnected with privately owned systems, much of it installed after September 11, 2001. The guest observes that surveillance is not distributed equally: cameras concentrate in dense commercial districts and in public housing, so communities already subject to intensive policing bear additional monitoring. The United Kingdom's closed-circuit television system offers a comparative model, with mixed evidence of crime reduction.</w:t>
      </w:r>
    </w:p>
    <w:p>
      <w:pPr>
        <w:pStyle w:val="Heading2"/>
        <w:spacing w:after="120" w:before="240"/>
      </w:pPr>
      <w:r>
        <w:rPr>
          <w:b/>
          <w:bCs/>
        </w:rPr>
        <w:t xml:space="preserve">Recorded Interrogations as Precedent</w:t>
      </w:r>
    </w:p>
    <w:p>
      <w:pPr>
        <w:spacing w:after="160"/>
      </w:pPr>
      <w:r>
        <w:t xml:space="preserve">The guest draws an analogy to the recording of custodial interrogations, which police departments initially resisted but came to embrace because recordings demonstrate that confessions were obtained without coercion. A measure adopted to deter misconduct became a tool for proving proper practice, a trajectory the guest anticipates for surveillance technology generally.</w:t>
      </w:r>
    </w:p>
    <w:p>
      <w:pPr>
        <w:pStyle w:val="Heading2"/>
        <w:spacing w:after="120" w:before="240"/>
      </w:pPr>
      <w:r>
        <w:rPr>
          <w:b/>
          <w:bCs/>
        </w:rPr>
        <w:t xml:space="preserve">Stop-and-Frisk and Terry v. Ohio</w:t>
      </w:r>
    </w:p>
    <w:p>
      <w:pPr>
        <w:spacing w:after="160"/>
      </w:pPr>
      <w:r>
        <w:t xml:space="preserve">In Terry v. Ohio (1968), the Supreme Court held that an officer may briefly detain an individual on reasonable suspicion that criminal activity is afoot, a standard below probable cause, and may conduct a limited frisk for weapons upon separate reasonable suspicion that the individual is armed and dangerous. The decision arose from a detective's observation of two men repeatedly examining a storefront in Cleveland. In New York City, the practice produced approximately 4.4 million stops over several years, roughly 84 percent of them of Black or Hispanic individuals, and about half accompanied by a frisk; the district court in Floyd found the practice as conducted violated the Fourth and Fourteenth Amendments.</w:t>
      </w:r>
    </w:p>
    <w:p>
      <w:pPr>
        <w:pStyle w:val="Heading2"/>
        <w:spacing w:after="120" w:before="240"/>
      </w:pPr>
      <w:r>
        <w:rPr>
          <w:b/>
          <w:bCs/>
        </w:rPr>
        <w:t xml:space="preserve">Facial Recognition Technology</w:t>
      </w:r>
    </w:p>
    <w:p>
      <w:pPr>
        <w:spacing w:after="160"/>
      </w:pPr>
      <w:r>
        <w:t xml:space="preserve">Facial recognition systems match faces captured by cameras against databases of images, permitting identification of individuals within crowds. Critics note the risk of false positives, which subject misidentified individuals to police scrutiny, and the expansion of source databases beyond arrest photographs to publicly available images. The guest argues that the appropriate response to error is improvement rather than abandonment, and that accurate identification could reduce the volume of stops by dispelling suspicion of individuals who would otherwise be detained.</w:t>
      </w:r>
    </w:p>
    <w:p>
      <w:pPr>
        <w:pStyle w:val="Heading2"/>
        <w:spacing w:after="120" w:before="240"/>
      </w:pPr>
      <w:r>
        <w:rPr>
          <w:b/>
          <w:bCs/>
        </w:rPr>
        <w:t xml:space="preserve">Long-Range Weapons Detection</w:t>
      </w:r>
    </w:p>
    <w:p>
      <w:pPr>
        <w:spacing w:after="160"/>
      </w:pPr>
      <w:r>
        <w:t xml:space="preserve">Terahertz scanners permit officers to detect firearms at a distance. The guest contends that such devices raise no Fourth Amendment concern and could reduce the use of force by distinguishing a weapon from an innocuous object before an officer acts.</w:t>
      </w:r>
    </w:p>
    <w:p>
      <w:pPr>
        <w:pStyle w:val="Heading2"/>
        <w:spacing w:after="120" w:before="240"/>
      </w:pPr>
      <w:r>
        <w:rPr>
          <w:b/>
          <w:bCs/>
        </w:rPr>
        <w:t xml:space="preserve">Automated Suspicion and Large-Scale Data</w:t>
      </w:r>
    </w:p>
    <w:p>
      <w:pPr>
        <w:spacing w:after="160"/>
      </w:pPr>
      <w:r>
        <w:t xml:space="preserve">Automated suspicion algorithms, sometimes described as machine learning, monitor surveillance feeds and generate alerts without human review, as in systems that identify unattended bags. Law enforcement access to aggregated public data, including social media, browsing, and purchasing histories, permits rapid assembly of a detailed profile of any individual. The guest acknowledges the potential for such systems to produce differential treatment and urges that the governing question be how technology can benefit citizens rather than only the police.</w:t>
      </w:r>
    </w:p>
    <w:p>
      <w:pPr>
        <w:pStyle w:val="Heading2"/>
        <w:spacing w:after="120" w:before="240"/>
      </w:pPr>
      <w:r>
        <w:rPr>
          <w:b/>
          <w:bCs/>
        </w:rPr>
        <w:t xml:space="preserve">Implicit Bias and Equal Protection</w:t>
      </w:r>
    </w:p>
    <w:p>
      <w:pPr>
        <w:spacing w:after="160"/>
      </w:pPr>
      <w:r>
        <w:t xml:space="preserve">The guest characterizes excessive force as a symptom of broader inequalities in policing and argues that officers often act on implicit assumptions linking race to criminality. Technology that supplies accurate information about an individual, he contends, may counter those assumptions and yield policing that is both more accurate and more egalitarian.</w:t>
      </w:r>
    </w:p>
    <w:p>
      <w:pPr>
        <w:pStyle w:val="Heading2"/>
        <w:spacing w:after="120" w:before="240"/>
      </w:pPr>
      <w:r>
        <w:rPr>
          <w:b/>
          <w:bCs/>
        </w:rPr>
        <w:t xml:space="preserve">Developments to Know</w:t>
      </w:r>
    </w:p>
    <w:p>
      <w:pPr>
        <w:spacing w:after="160"/>
      </w:pPr>
      <w:r>
        <w:t xml:space="preserve">In Carpenter v. United States (2018), the Supreme Court held that the government's acquisition of historical cell-site location records is a Fourth Amendment search generally requiring a warrant, extending constitutional protection to aggregated digital data. In December 2019, the National Institute of Standards and Technology published an evaluation finding that most facial recognition algorithms exhibit higher false positive rates for Black and Asian faces than for white faces. In 2020, Detroit police wrongfully arrested Robert Williams based on an erroneous facial recognition match; the resulting litigation settled in 2024 with policies prohibiting arrests based on a facial recognition result alone and imposing additional safeguards. San Francisco in 2019 became the first major U.S. city to prohibit government use of facial recognition, and numerous states and municipalities have since enacted restrictions or procedural requirements. New York City's Public Oversight of Surveillance Technology Act, enacted in 2020 and expanded in 2025, requires the New York City Police Department to publish impact and use policies for its surveillance technologies. Body-worn cameras have become standard equipment in most large departments; New York repealed Civil Rights Law section 50-a in 2020, opening police disciplinary records to the public; and a 2022 executive order directed federal law enforcement agencies to adopt body-worn cameras.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2026-09-24T04:38:12.953Z</dcterms:created>
  <dcterms:modified xsi:type="dcterms:W3CDTF">2026-09-24T04:38:12.953Z</dcterms:modified>
</cp:coreProperties>
</file>

<file path=docProps/custom.xml><?xml version="1.0" encoding="utf-8"?>
<Properties xmlns="http://schemas.openxmlformats.org/officeDocument/2006/custom-properties" xmlns:vt="http://schemas.openxmlformats.org/officeDocument/2006/docPropsVTypes"/>
</file>