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Gun Rights under Rahimi and Cargill</w:t>
      </w:r>
    </w:p>
    <w:p>
      <w:pPr>
        <w:spacing w:after="200"/>
      </w:pPr>
      <w:r>
        <w:rPr>
          <w:rFonts w:ascii="Montserrat" w:cs="Montserrat" w:eastAsia="Montserrat" w:hAnsi="Montserrat"/>
          <w:b/>
          <w:bCs/>
          <w:color w:val="E87722"/>
          <w:sz w:val="24"/>
          <w:szCs w:val="24"/>
        </w:rPr>
        <w:t>Joseph Blocher, Lanty L. Smith '67 Distinguished Professor of Law and Co-Founder and Faculty Director, Duke Center for Firearms Law, Duke Law School</w:t>
      </w:r>
    </w:p>
    <w:p>
      <w:pPr>
        <w:pStyle w:val="Heading2"/>
        <w:spacing w:after="120" w:before="240"/>
      </w:pPr>
      <w:r>
        <w:rPr>
          <w:b/>
          <w:bCs/>
        </w:rPr>
        <w:t>Overview</w:t>
      </w:r>
    </w:p>
    <w:p>
      <w:pPr>
        <w:spacing w:after="160"/>
      </w:pPr>
      <w:r>
        <w:t>This program analyzes the Supreme Court's two firearms decisions of June 2024. In United States v. Rahimi, the Court upheld 18 U.S.C. § 922(g)(8), which prohibits firearm possession by persons subject to domestic violence restraining orders, and clarified the historical-analogue method of New York State Rifle &amp; Pistol Ass'n v. Bruen. In Garland v. Cargill, the Court held that the National Firearms Act's definition of "machinegun" does not reach bump stocks, invalidating the 2018 ATF rule. Professor Joseph Blocher explains the reasoning of each decision and its separate opinions, the questions Rahimi leaves open regarding felon prohibitions, magazine restrictions, age limits, and red-flag laws, and the statutory rather than constitutional nature of Cargill. The program updates the discussion with Bondi v. VanDerStok (2025), the Range litigation and subsequent certiorari denials, the Court's June 2026 decisions in Hemani and Wolford, the grant of certiorari in Viramontes and Grant, and executive-branch developments.</w:t>
      </w:r>
    </w:p>
    <w:p>
      <w:pPr>
        <w:pStyle w:val="Heading2"/>
        <w:spacing w:after="120" w:before="240"/>
      </w:pPr>
      <w:r>
        <w:rPr>
          <w:b/>
          <w:bCs/>
        </w:rPr>
        <w:t>Learning Objectives</w:t>
      </w:r>
    </w:p>
    <w:p>
      <w:pPr>
        <w:pStyle w:val="ListParagraph"/>
        <w:numPr>
          <w:ilvl w:val="0"/>
          <w:numId w:val="1"/>
        </w:numPr>
        <w:spacing w:after="80"/>
      </w:pPr>
      <w:r>
        <w:t>Explain the Bruen framework and how Rahimi clarified the level of generality at which courts must identify historical analogues.</w:t>
      </w:r>
    </w:p>
    <w:p>
      <w:pPr>
        <w:pStyle w:val="ListParagraph"/>
        <w:numPr>
          <w:ilvl w:val="0"/>
          <w:numId w:val="1"/>
        </w:numPr>
        <w:spacing w:after="80"/>
      </w:pPr>
      <w:r>
        <w:t>Describe the holding and reasoning of Rahimi, including the surety and going-armed traditions, and the positions taken in the concurring and dissenting opinions.</w:t>
      </w:r>
    </w:p>
    <w:p>
      <w:pPr>
        <w:pStyle w:val="ListParagraph"/>
        <w:numPr>
          <w:ilvl w:val="0"/>
          <w:numId w:val="1"/>
        </w:numPr>
        <w:spacing w:after="80"/>
      </w:pPr>
      <w:r>
        <w:t>Identify the Second Amendment questions Rahimi did not resolve and the status of litigation over felon-in-possession laws, magazine and assault-weapon restrictions, age limits, and drug-user prohibitions.</w:t>
      </w:r>
    </w:p>
    <w:p>
      <w:pPr>
        <w:pStyle w:val="ListParagraph"/>
        <w:numPr>
          <w:ilvl w:val="0"/>
          <w:numId w:val="1"/>
        </w:numPr>
        <w:spacing w:after="80"/>
      </w:pPr>
      <w:r>
        <w:t>Explain the statutory holding of Cargill regarding the definition of "machinegun" in 26 U.S.C. § 5845(b) and its implications for administrative regulation of firearms.</w:t>
      </w:r>
    </w:p>
    <w:p>
      <w:pPr>
        <w:pStyle w:val="ListParagraph"/>
        <w:numPr>
          <w:ilvl w:val="0"/>
          <w:numId w:val="1"/>
        </w:numPr>
        <w:spacing w:after="80"/>
      </w:pPr>
      <w:r>
        <w:t>Summarize the Supreme Court's 2025–26 firearms docket and recent executive-branch regulatory changes.</w:t>
      </w:r>
    </w:p>
    <w:p>
      <w:pPr>
        <w:pStyle w:val="Heading2"/>
        <w:spacing w:after="120" w:before="240"/>
      </w:pPr>
      <w:r>
        <w:rPr>
          <w:b/>
          <w:bCs/>
        </w:rPr>
        <w:t>The Bruen Framework</w:t>
      </w:r>
    </w:p>
    <w:p>
      <w:pPr>
        <w:pStyle w:val="ListParagraph"/>
        <w:numPr>
          <w:ilvl w:val="0"/>
          <w:numId w:val="1"/>
        </w:numPr>
        <w:spacing w:after="80"/>
      </w:pPr>
      <w:r>
        <w:t>New York State Rifle &amp; Pistol Ass'n v. Bruen, 597 U.S. 1 (2022), rejected means-end scrutiny: when the Second Amendment's plain text covers the conduct, the government must show the regulation is consistent with the nation's historical tradition of firearm regulation, using reasoning by analogy focused on "how and why" a law burdens the right.</w:t>
      </w:r>
    </w:p>
    <w:p>
      <w:pPr>
        <w:pStyle w:val="ListParagraph"/>
        <w:numPr>
          <w:ilvl w:val="0"/>
          <w:numId w:val="1"/>
        </w:numPr>
        <w:spacing w:after="80"/>
      </w:pPr>
      <w:r>
        <w:t>Lower courts divided over how close an analogue must be; the Fifth Circuit in Rahimi found no founding-era law disarming persons subject to civil protective orders and held § 922(g)(8) facially unconstitutional (61 F.4th 443 (5th Cir. 2023)).</w:t>
      </w:r>
    </w:p>
    <w:p>
      <w:pPr>
        <w:pStyle w:val="Heading2"/>
        <w:spacing w:after="120" w:before="240"/>
      </w:pPr>
      <w:r>
        <w:rPr>
          <w:b/>
          <w:bCs/>
        </w:rPr>
        <w:t>United States v. Rahimi, 602 U.S. 680 (2024)</w:t>
      </w:r>
    </w:p>
    <w:p>
      <w:pPr>
        <w:pStyle w:val="ListParagraph"/>
        <w:numPr>
          <w:ilvl w:val="0"/>
          <w:numId w:val="1"/>
        </w:numPr>
        <w:spacing w:after="80"/>
      </w:pPr>
      <w:r>
        <w:t>Holding (8–1, Roberts, C.J.): when an individual has been found by a court to pose a credible threat to the physical safety of another, that individual may be temporarily disarmed consistent with the Second Amendment. Section 922(g)(8)(C)(i), which requires such a finding, is facially constitutional.</w:t>
      </w:r>
    </w:p>
    <w:p>
      <w:pPr>
        <w:pStyle w:val="ListParagraph"/>
        <w:numPr>
          <w:ilvl w:val="0"/>
          <w:numId w:val="1"/>
        </w:numPr>
        <w:spacing w:after="80"/>
      </w:pPr>
      <w:r>
        <w:t>Reasoning: surety laws, which required persons reasonably accused of threatening harm to post bond, and "going armed" laws, which punished menacing others with weapons by forfeiture and imprisonment, establish a principle that the government may disarm those who threaten physical harm. Courts must not require a "historical twin"; the Fifth Circuit erred by demanding one.</w:t>
      </w:r>
    </w:p>
    <w:p>
      <w:pPr>
        <w:pStyle w:val="ListParagraph"/>
        <w:numPr>
          <w:ilvl w:val="0"/>
          <w:numId w:val="1"/>
        </w:numPr>
        <w:spacing w:after="80"/>
      </w:pPr>
      <w:r>
        <w:t>Facial-challenge standard: because the statute is constitutional in some of its applications, the facial challenge fails (United States v. Salerno).</w:t>
      </w:r>
    </w:p>
    <w:p>
      <w:pPr>
        <w:pStyle w:val="ListParagraph"/>
        <w:numPr>
          <w:ilvl w:val="0"/>
          <w:numId w:val="1"/>
        </w:numPr>
        <w:spacing w:after="80"/>
      </w:pPr>
      <w:r>
        <w:t>Separate opinions: Sotomayor (joined by Kagan), Gorsuch, Kavanaugh, Barrett, and Jackson each concurred, debating the role of history and the proper generality of analogues; Thomas dissented, finding the surety and going-armed laws insufficiently similar in burden.</w:t>
      </w:r>
    </w:p>
    <w:p>
      <w:pPr>
        <w:pStyle w:val="ListParagraph"/>
        <w:numPr>
          <w:ilvl w:val="0"/>
          <w:numId w:val="1"/>
        </w:numPr>
        <w:spacing w:after="80"/>
      </w:pPr>
      <w:r>
        <w:t>Limits: the decision rests on an individualized judicial finding; it does not decide the constitutionality of § 922(g)(1) (felons), § 922(g)(3) (unlawful drug users), § 922(n) (persons under indictment), age-based restrictions, magazine or assault-weapon laws, or extreme risk protection orders.</w:t>
      </w:r>
    </w:p>
    <w:p>
      <w:pPr>
        <w:pStyle w:val="Heading2"/>
        <w:spacing w:after="120" w:before="240"/>
      </w:pPr>
      <w:r>
        <w:rPr>
          <w:b/>
          <w:bCs/>
        </w:rPr>
        <w:t>Garland v. Cargill, 602 U.S. 406 (2024)</w:t>
      </w:r>
    </w:p>
    <w:p>
      <w:pPr>
        <w:pStyle w:val="ListParagraph"/>
        <w:numPr>
          <w:ilvl w:val="0"/>
          <w:numId w:val="1"/>
        </w:numPr>
        <w:spacing w:after="80"/>
      </w:pPr>
      <w:r>
        <w:t>A bump stock harnesses recoil to slide the rifle back and forth against a stationary trigger finger, enabling 400–800 rounds per minute. After the 2017 Las Vegas shooting, ATF reclassified bump-stock-equipped rifles as machine guns under 26 U.S.C. § 5845(b) (2018 rule).</w:t>
      </w:r>
    </w:p>
    <w:p>
      <w:pPr>
        <w:pStyle w:val="ListParagraph"/>
        <w:numPr>
          <w:ilvl w:val="0"/>
          <w:numId w:val="1"/>
        </w:numPr>
        <w:spacing w:after="80"/>
      </w:pPr>
      <w:r>
        <w:t>Holding (6–3, Thomas, J.): a semiautomatic rifle equipped with a bump stock does not fire more than one shot "by a single function of the trigger," because each shot requires the trigger to reset and be re-engaged; nor does it fire "automatically," because the shooter must maintain forward pressure. The rule exceeded ATF's statutory authority.</w:t>
      </w:r>
    </w:p>
    <w:p>
      <w:pPr>
        <w:pStyle w:val="ListParagraph"/>
        <w:numPr>
          <w:ilvl w:val="0"/>
          <w:numId w:val="1"/>
        </w:numPr>
        <w:spacing w:after="80"/>
      </w:pPr>
      <w:r>
        <w:t>Alito, J., concurring: Congress that enacted the statute would have seen no difference between a machine gun and a bump stock, and Congress can amend the statute. Sotomayor, J., dissenting (joined by Kagan and Jackson): the device functions as a machine gun under the ordinary meaning of the statute.</w:t>
      </w:r>
    </w:p>
    <w:p>
      <w:pPr>
        <w:pStyle w:val="ListParagraph"/>
        <w:numPr>
          <w:ilvl w:val="0"/>
          <w:numId w:val="1"/>
        </w:numPr>
        <w:spacing w:after="80"/>
      </w:pPr>
      <w:r>
        <w:t>Cargill is a statutory-interpretation decision; it does not address whether Congress could prohibit bump stocks under the Second Amendment. Congress has not amended § 5845(b); several states ban bump stocks by statute.</w:t>
      </w:r>
    </w:p>
    <w:p>
      <w:pPr>
        <w:pStyle w:val="Heading2"/>
        <w:spacing w:after="120" w:before="240"/>
      </w:pPr>
      <w:r>
        <w:rPr>
          <w:b/>
          <w:bCs/>
        </w:rPr>
        <w:t>Subsequent Supreme Court Decisions</w:t>
      </w:r>
    </w:p>
    <w:p>
      <w:pPr>
        <w:pStyle w:val="ListParagraph"/>
        <w:numPr>
          <w:ilvl w:val="0"/>
          <w:numId w:val="1"/>
        </w:numPr>
        <w:spacing w:after="80"/>
      </w:pPr>
      <w:r>
        <w:t>Bondi v. VanDerStok, 604 U.S. ___ (Mar. 26, 2025) (7–2): the Gun Control Act's definitions of "firearm" and "frame or receiver" permit ATF to regulate weapon parts kits and partially complete frames (the 2022 "ghost gun" rule).</w:t>
      </w:r>
    </w:p>
    <w:p>
      <w:pPr>
        <w:pStyle w:val="ListParagraph"/>
        <w:numPr>
          <w:ilvl w:val="0"/>
          <w:numId w:val="1"/>
        </w:numPr>
        <w:spacing w:after="80"/>
      </w:pPr>
      <w:r>
        <w:t>United States v. Hemani (June 18, 2026): addressing § 922(g)(3)'s prohibition on possession by unlawful users of controlled substances.</w:t>
      </w:r>
    </w:p>
    <w:p>
      <w:pPr>
        <w:pStyle w:val="ListParagraph"/>
        <w:numPr>
          <w:ilvl w:val="0"/>
          <w:numId w:val="1"/>
        </w:numPr>
        <w:spacing w:after="80"/>
      </w:pPr>
      <w:r>
        <w:t>Wolford v. Lopez (June 25, 2026) (6–3): addressing Hawaii's default rule prohibiting carry on private property open to the public absent express permission.</w:t>
      </w:r>
    </w:p>
    <w:p>
      <w:pPr>
        <w:pStyle w:val="ListParagraph"/>
        <w:numPr>
          <w:ilvl w:val="0"/>
          <w:numId w:val="1"/>
        </w:numPr>
        <w:spacing w:after="80"/>
      </w:pPr>
      <w:r>
        <w:t>Certiorari granted June 30, 2026, in Viramontes v. Cook County and Grant v. Lamont, challenging an assault-weapons ban and a magazine-capacity limit; argument set for December 2, 2026. Certiorari denied the same day in challenges to federal and state age limits for 18-to-20-year-olds, leaving Reese v. ATF (5th Cir. 2025), which struck the federal handgun-purchase age, in place.</w:t>
      </w:r>
    </w:p>
    <w:p>
      <w:pPr>
        <w:pStyle w:val="Heading2"/>
        <w:spacing w:after="120" w:before="240"/>
      </w:pPr>
      <w:r>
        <w:rPr>
          <w:b/>
          <w:bCs/>
        </w:rPr>
        <w:t>Felon-in-Possession and Lower-Court Developments</w:t>
      </w:r>
    </w:p>
    <w:p>
      <w:pPr>
        <w:pStyle w:val="ListParagraph"/>
        <w:numPr>
          <w:ilvl w:val="0"/>
          <w:numId w:val="1"/>
        </w:numPr>
        <w:spacing w:after="80"/>
      </w:pPr>
      <w:r>
        <w:t>Range v. Attorney General, 124 F.4th 218 (3d Cir. 2024) (en banc): § 922(g)(1) unconstitutional as applied to a nonviolent felon convicted of food-stamp fraud; the government did not seek certiorari.</w:t>
      </w:r>
    </w:p>
    <w:p>
      <w:pPr>
        <w:pStyle w:val="ListParagraph"/>
        <w:numPr>
          <w:ilvl w:val="0"/>
          <w:numId w:val="1"/>
        </w:numPr>
        <w:spacing w:after="80"/>
      </w:pPr>
      <w:r>
        <w:t>Other circuits have upheld § 922(g)(1) facially and as applied (e.g., United States v. Duarte (9th Cir. en banc 2025); Vincent v. Bondi (10th Cir.)); the Supreme Court denied certiorari in Zherka and Duarte (January 2026) and Vincent (March 2026), leaving the split unresolved.</w:t>
      </w:r>
    </w:p>
    <w:p>
      <w:pPr>
        <w:pStyle w:val="ListParagraph"/>
        <w:numPr>
          <w:ilvl w:val="0"/>
          <w:numId w:val="1"/>
        </w:numPr>
        <w:spacing w:after="80"/>
      </w:pPr>
      <w:r>
        <w:t>Extreme risk protection order statutes in 21 states and D.C. have generally been upheld post-Rahimi on the basis of individualized judicial findings.</w:t>
      </w:r>
    </w:p>
    <w:p>
      <w:pPr>
        <w:pStyle w:val="Heading2"/>
        <w:spacing w:after="120" w:before="240"/>
      </w:pPr>
      <w:r>
        <w:rPr>
          <w:b/>
          <w:bCs/>
        </w:rPr>
        <w:t>Executive and Regulatory Developments</w:t>
      </w:r>
    </w:p>
    <w:p>
      <w:pPr>
        <w:pStyle w:val="ListParagraph"/>
        <w:numPr>
          <w:ilvl w:val="0"/>
          <w:numId w:val="1"/>
        </w:numPr>
        <w:spacing w:after="80"/>
      </w:pPr>
      <w:r>
        <w:t>Executive Order 14206 (February 2025) directed review of federal firearms regulations; the Justice Department created a Second Amendment Task Force (April 2025) and in April 2026 announced approximately 34 regulatory changes, including a proposed rule removing bump-stock language from 27 C.F.R. pts. 478 and 479, revisions to the engaged-in-the-business rule, and restoration of the rights-restoration process under 18 U.S.C. § 925(c).</w:t>
      </w:r>
    </w:p>
    <w:p>
      <w:pPr>
        <w:pStyle w:val="ListParagraph"/>
        <w:numPr>
          <w:ilvl w:val="0"/>
          <w:numId w:val="1"/>
        </w:numPr>
        <w:spacing w:after="80"/>
      </w:pPr>
      <w:r>
        <w:t>Several states have enacted or expanded assault-weapon, magazine, and permit-to-purchase laws since 2024; litigation over these laws will be shaped by the Court's decision in Viramontes and Grant.</w:t>
      </w:r>
    </w:p>
    <w:p>
      <w:pPr>
        <w:pStyle w:val="Heading2"/>
        <w:spacing w:after="120" w:before="240"/>
      </w:pPr>
      <w:r>
        <w:rPr>
          <w:b/>
          <w:bCs/>
        </w:rPr>
        <w:t>Developments to Know</w:t>
      </w:r>
    </w:p>
    <w:p>
      <w:pPr>
        <w:pStyle w:val="ListParagraph"/>
        <w:numPr>
          <w:ilvl w:val="0"/>
          <w:numId w:val="1"/>
        </w:numPr>
        <w:spacing w:after="80"/>
      </w:pPr>
      <w:r>
        <w:t>Bondi v. VanDerStok (March 26, 2025): ghost-gun rule upheld 7–2.</w:t>
      </w:r>
    </w:p>
    <w:p>
      <w:pPr>
        <w:pStyle w:val="ListParagraph"/>
        <w:numPr>
          <w:ilvl w:val="0"/>
          <w:numId w:val="1"/>
        </w:numPr>
        <w:spacing w:after="80"/>
      </w:pPr>
      <w:r>
        <w:t>Range v. Attorney General (3d Cir. en banc, Dec. 2024); certiorari denied in Zherka and Duarte (Jan. 2026) and Vincent (Mar. 2026).</w:t>
      </w:r>
    </w:p>
    <w:p>
      <w:pPr>
        <w:pStyle w:val="ListParagraph"/>
        <w:numPr>
          <w:ilvl w:val="0"/>
          <w:numId w:val="1"/>
        </w:numPr>
        <w:spacing w:after="80"/>
      </w:pPr>
      <w:r>
        <w:t>United States v. Hemani (June 18, 2026) and Wolford v. Lopez (June 25, 2026).</w:t>
      </w:r>
    </w:p>
    <w:p>
      <w:pPr>
        <w:pStyle w:val="ListParagraph"/>
        <w:numPr>
          <w:ilvl w:val="0"/>
          <w:numId w:val="1"/>
        </w:numPr>
        <w:spacing w:after="80"/>
      </w:pPr>
      <w:r>
        <w:t>Certiorari granted in Viramontes and Grant (June 30, 2026); argument December 2, 2026.</w:t>
      </w:r>
    </w:p>
    <w:p>
      <w:pPr>
        <w:pStyle w:val="ListParagraph"/>
        <w:numPr>
          <w:ilvl w:val="0"/>
          <w:numId w:val="1"/>
        </w:numPr>
        <w:spacing w:after="80"/>
      </w:pPr>
      <w:r>
        <w:t>DOJ Second Amendment Task Force (April 2025); ATF regulatory package (April 2026) including removal of bump-stock regulatory language.</w:t>
      </w:r>
    </w:p>
    <w:p>
      <w:pPr>
        <w:pStyle w:val="ListParagraph"/>
        <w:numPr>
          <w:ilvl w:val="0"/>
          <w:numId w:val="1"/>
        </w:numPr>
        <w:spacing w:after="80"/>
      </w:pPr>
      <w:r>
        <w:t>Blocher &amp; Miller et al., Firearms Law casebook (2025).</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