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Regulating Finance: Dodd Frank Decoded</w:t>
      </w:r>
    </w:p>
    <w:p>
      <w:pPr>
        <w:spacing w:after="200"/>
      </w:pPr>
      <w:r>
        <w:rPr>
          <w:rFonts w:ascii="Montserrat" w:cs="Montserrat" w:eastAsia="Montserrat" w:hAnsi="Montserrat"/>
          <w:b/>
          <w:bCs/>
          <w:color w:val="E87722"/>
          <w:sz w:val="24"/>
          <w:szCs w:val="24"/>
        </w:rPr>
        <w:t xml:space="preserve">Annette Nazareth</w:t>
      </w:r>
    </w:p>
    <w:p>
      <w:pPr>
        <w:pBdr>
          <w:bottom w:val="single" w:color="E87722" w:sz="6"/>
        </w:pBdr>
        <w:spacing w:after="300"/>
      </w:pPr>
    </w:p>
    <w:p>
      <w:pPr>
        <w:pStyle w:val="Heading2"/>
        <w:spacing w:after="120" w:before="240"/>
      </w:pPr>
      <w:r>
        <w:rPr>
          <w:b/>
          <w:bCs/>
        </w:rPr>
        <w:t xml:space="preserve">Overview and Statutory Framework</w:t>
      </w:r>
    </w:p>
    <w:p>
      <w:pPr>
        <w:spacing w:after="160"/>
      </w:pPr>
      <w:r>
        <w:t xml:space="preserve">The Dodd-Frank Wall Street Reform and Consumer Protection Act of 2010 was enacted in response to the financial crisis of 2007–2008, the most severe since the Great Depression. At 898 pages, it required approximately 398 rulemakings by the financial regulatory agencies and produced roughly 22,000 pages of implementing regulations. The statute passed with little bipartisan support and has remained politically contested, drawing some 140 attempts at repeal or amendment. Its central aims were to reduce the likelihood of a future crisis and to end the expectation that the largest institutions were too big to fail.</w:t>
      </w:r>
    </w:p>
    <w:p>
      <w:pPr>
        <w:pStyle w:val="Heading2"/>
        <w:spacing w:after="120" w:before="240"/>
      </w:pPr>
      <w:r>
        <w:rPr>
          <w:b/>
          <w:bCs/>
        </w:rPr>
        <w:t xml:space="preserve">Systemically Important Financial Institutions and Enhanced Prudential Standards</w:t>
      </w:r>
    </w:p>
    <w:p>
      <w:pPr>
        <w:spacing w:after="160"/>
      </w:pPr>
      <w:r>
        <w:t xml:space="preserve">Dodd-Frank designated bank holding companies with $50 billion or more in assets as systemically important financial institutions, subjecting them to enhanced prudential standards under Title I. These include heightened capital requirements, liquidity requirements, leverage limits, and resolution planning obligations. The statute's enhanced-standards framework reflects the judgment that the failure of such institutions could transmit losses across the financial system. The guest observes that banks are now better capitalized, more liquid, and less leveraged than before the crisis, while noting an unresolved question whether the cumulative cost of these requirements has constrained the extension of credit.</w:t>
      </w:r>
    </w:p>
    <w:p>
      <w:pPr>
        <w:pStyle w:val="Heading2"/>
        <w:spacing w:after="120" w:before="240"/>
      </w:pPr>
      <w:r>
        <w:rPr>
          <w:b/>
          <w:bCs/>
        </w:rPr>
        <w:t xml:space="preserve">Resolution Planning and Living Wills</w:t>
      </w:r>
    </w:p>
    <w:p>
      <w:pPr>
        <w:spacing w:after="160"/>
      </w:pPr>
      <w:r>
        <w:t xml:space="preserve">A living will is a resolution plan in which a large institution describes how it could be wound down in an orderly manner in the event of material distress. The requirement responds to the disorderly liquidation of Lehman Brothers, in which regulators lacked a clear understanding of the firm's structure and the location of its assets. Living wills require institutions to rationalize their corporate structures, reduce the number of legal entities, and plan to minimize losses to creditors and shareholders and disruption to the broader system, so that critical functions can continue to operate through a failure.</w:t>
      </w:r>
    </w:p>
    <w:p>
      <w:pPr>
        <w:pStyle w:val="Heading2"/>
        <w:spacing w:after="120" w:before="240"/>
      </w:pPr>
      <w:r>
        <w:rPr>
          <w:b/>
          <w:bCs/>
        </w:rPr>
        <w:t xml:space="preserve">The Financial Stability Oversight Council</w:t>
      </w:r>
    </w:p>
    <w:p>
      <w:pPr>
        <w:spacing w:after="160"/>
      </w:pPr>
      <w:r>
        <w:t xml:space="preserve">Title I also created the Financial Stability Oversight Council, chaired by the Secretary of the Treasury and composed of the heads of the principal federal financial regulators, including the Federal Reserve, the Securities and Exchange Commission, the Commodity Futures Trading Commission, and the Federal Deposit Insurance Corporation. The Council is charged with identifying risks to financial stability across institutions and activities. It does not itself possess rulemaking authority; its influence operates through the rulemaking of its members. The guest characterizes the Council as a compromise that substituted coordination for the regulatory consolidation adopted in other jurisdictions, such as the United Kingdom. Dodd-Frank abolished the Office of Thrift Supervision but created a new agency, leaving the overall number of regulators essentially unchanged.</w:t>
      </w:r>
    </w:p>
    <w:p>
      <w:pPr>
        <w:pStyle w:val="Heading2"/>
        <w:spacing w:after="120" w:before="240"/>
      </w:pPr>
      <w:r>
        <w:rPr>
          <w:b/>
          <w:bCs/>
        </w:rPr>
        <w:t xml:space="preserve">Title VII: Regulation of Swaps and Derivatives</w:t>
      </w:r>
    </w:p>
    <w:p>
      <w:pPr>
        <w:spacing w:after="160"/>
      </w:pPr>
      <w:r>
        <w:t xml:space="preserve">A swap is a derivative contract whose value is based on an underlying reference, the most common example being an interest rate swap exchanging fixed for floating payment obligations. Before Dodd-Frank, the over-the-counter swaps market, measured in the trillions of dollars, was largely exempt from regulation under the pre-crisis statutory framework. Title VII subjected the market to comprehensive regulation, dividing jurisdiction between the Commodity Futures Trading Commission, which regulates swaps, and the Securities and Exchange Commission, which regulates security-based swaps. The new regime required the construction of market infrastructure previously absent from the swaps market: registered swap dealers and security-based swap dealers, swap data repositories for trade reporting, swap execution facilities for trading, and derivatives clearing organizations for clearing. The guest notes that the CFTC implemented its rules considerably faster than the SEC.</w:t>
      </w:r>
    </w:p>
    <w:p>
      <w:pPr>
        <w:pStyle w:val="Heading2"/>
        <w:spacing w:after="120" w:before="240"/>
      </w:pPr>
      <w:r>
        <w:rPr>
          <w:b/>
          <w:bCs/>
        </w:rPr>
        <w:t xml:space="preserve">The Volcker Rule</w:t>
      </w:r>
    </w:p>
    <w:p>
      <w:pPr>
        <w:spacing w:after="160"/>
      </w:pPr>
      <w:r>
        <w:t xml:space="preserve">The Volcker Rule, enacted as Section 619 of Dodd-Frank and codified as Section 13 of the Bank Holding Company Act, prohibits banking entities from engaging in proprietary trading, meaning trading for the institution's own account, and from sponsoring or acquiring ownership interests in hedge funds and private equity funds. The prohibition extends beyond the insured depository institution to its affiliates and holding company. Its rationale, associated with former Federal Reserve Chairman Paul Volcker, is that speculative trading places the assets of an insured institution at risk and is inconsistent with the separation of investment banking from commercial banking that prevailed before the late 1990s. The covered-fund restrictions prevent institutions from accomplishing indirectly through fund vehicles what the rule prohibits directly. The rule applies to foreign banking organizations with U.S. operations, subject to exemptions for activities conducted solely outside the United States, and imposed compliance burdens that many foreign banks did not anticipate. Critics note that proprietary trading was not a principal cause of the financial crisis, and the rule's effect on market liquidity remains a subject of study.</w:t>
      </w:r>
    </w:p>
    <w:p>
      <w:pPr>
        <w:pStyle w:val="Heading2"/>
        <w:spacing w:after="120" w:before="240"/>
      </w:pPr>
      <w:r>
        <w:rPr>
          <w:b/>
          <w:bCs/>
        </w:rPr>
        <w:t xml:space="preserve">Registration of Hedge Fund Advisers</w:t>
      </w:r>
    </w:p>
    <w:p>
      <w:pPr>
        <w:spacing w:after="160"/>
      </w:pPr>
      <w:r>
        <w:t xml:space="preserve">Title IV of Dodd-Frank extended registration requirements under the Investment Advisers Act of 1940 to advisers of hedge funds and other private funds, which had previously operated largely outside SEC oversight. Registration brings greater transparency and subjects advisers to SEC examination and review.</w:t>
      </w:r>
    </w:p>
    <w:p>
      <w:pPr>
        <w:pStyle w:val="Heading2"/>
        <w:spacing w:after="120" w:before="240"/>
      </w:pPr>
      <w:r>
        <w:rPr>
          <w:b/>
          <w:bCs/>
        </w:rPr>
        <w:t xml:space="preserve">The Consumer Financial Protection Bureau</w:t>
      </w:r>
    </w:p>
    <w:p>
      <w:pPr>
        <w:spacing w:after="160"/>
      </w:pPr>
      <w:r>
        <w:t xml:space="preserve">Title X established the Consumer Financial Protection Bureau, an agency proposed by then-Professor Elizabeth Warren to consolidate consumer financial protection, which had previously been a secondary mandate of the banking regulators. The Bureau possesses examination and enforcement authority and has focused on plain-language disclosure and consumer understanding of lending practices.</w:t>
      </w:r>
    </w:p>
    <w:p>
      <w:pPr>
        <w:pStyle w:val="Heading2"/>
        <w:spacing w:after="120" w:before="240"/>
      </w:pPr>
      <w:r>
        <w:rPr>
          <w:b/>
          <w:bCs/>
        </w:rPr>
        <w:t xml:space="preserve">International Coordination</w:t>
      </w:r>
    </w:p>
    <w:p>
      <w:pPr>
        <w:spacing w:after="160"/>
      </w:pPr>
      <w:r>
        <w:t xml:space="preserve">The financial crisis was global, and the G20 established the Financial Stability Board, on which each major economy is represented by its treasury, central bank, and securities regulator. The Board seeks international coordination on matters of systemic importance, including the broad architecture of swaps regulation, such as central clearing, exchange execution, and price transparency. A continuing challenge for globally active institutions is determining which jurisdiction's rules govern cross-border transactions where rules may both apply and conflict. The guest identifies mutual recognition, or substituted compliance, under which compliance with a substantially similar foreign regime satisfies domestic requirements, as the necessary resolution.</w:t>
      </w:r>
    </w:p>
    <w:p>
      <w:pPr>
        <w:pStyle w:val="Heading2"/>
        <w:spacing w:after="120" w:before="240"/>
      </w:pPr>
      <w:r>
        <w:rPr>
          <w:b/>
          <w:bCs/>
        </w:rPr>
        <w:t xml:space="preserve">Assessment</w:t>
      </w:r>
    </w:p>
    <w:p>
      <w:pPr>
        <w:spacing w:after="160"/>
      </w:pPr>
      <w:r>
        <w:t xml:space="preserve">The guest concludes that Dodd-Frank strengthened the financial system through higher capital, reduced leverage, greater liquidity, effective resolution planning, and successful regulation of the swaps market. She identifies as unresolved the calibration of the Volcker Rule and the aggregate cost of the regulatory regime, and as a missed opportunity the failure to simplify the fragmented structure of U.S. financial regulation.</w:t>
      </w:r>
    </w:p>
    <w:p>
      <w:pPr>
        <w:pStyle w:val="Heading2"/>
        <w:spacing w:after="120" w:before="240"/>
      </w:pPr>
      <w:r>
        <w:rPr>
          <w:b/>
          <w:bCs/>
        </w:rPr>
        <w:t xml:space="preserve">Developments to Know</w:t>
      </w:r>
    </w:p>
    <w:p>
      <w:pPr>
        <w:spacing w:after="160"/>
      </w:pPr>
      <w:r>
        <w:t xml:space="preserve">Dodd-Frank has not been repealed, including during the period of unified Republican control of Congress and the presidency beginning in 2017. The Economic Growth, Regulatory Relief, and Consumer Protection Act of 2018 raised the asset threshold for enhanced prudential standards from $50 billion to $250 billion, exempting institutions under $100 billion and giving the Federal Reserve discretion over those between $100 billion and $250 billion. The federal banking agencies amended the Volcker Rule in 2019, simplifying the proprietary trading restrictions, and again in 2020, relaxing the covered-fund provisions. The SEC's security-based swap dealer registration regime took effect in 2021. The failures of Silicon Valley Bank and other regional institutions in 2023 renewed debate over the raised threshold. In 2025, the Consumer Financial Protection Bureau's funding cap was substantially reduced by Congress, its staff and enforcement activity were curtailed, and its active enforcement matters were transferred to the Department of Justice, leaving the Bureau's future operation uncertain.</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2026-09-24T04:38:13.959Z</dcterms:created>
  <dcterms:modified xsi:type="dcterms:W3CDTF">2026-09-24T04:38:13.959Z</dcterms:modified>
</cp:coreProperties>
</file>

<file path=docProps/custom.xml><?xml version="1.0" encoding="utf-8"?>
<Properties xmlns="http://schemas.openxmlformats.org/officeDocument/2006/custom-properties" xmlns:vt="http://schemas.openxmlformats.org/officeDocument/2006/docPropsVTypes"/>
</file>