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80"/>
      </w:pPr>
      <w:r>
        <w:rPr>
          <w:rFonts w:ascii="Montserrat" w:cs="Montserrat" w:eastAsia="Montserrat" w:hAnsi="Montserrat"/>
          <w:b/>
          <w:bCs/>
          <w:sz w:val="36"/>
          <w:szCs w:val="36"/>
        </w:rPr>
        <w:t>Criminal Lab-Grown Meat: State Bans, Federal Approval, and the Law of Food</w:t>
      </w:r>
    </w:p>
    <w:p>
      <w:pPr>
        <w:spacing w:after="200"/>
      </w:pPr>
      <w:r>
        <w:rPr>
          <w:rFonts w:ascii="Montserrat" w:cs="Montserrat" w:eastAsia="Montserrat" w:hAnsi="Montserrat"/>
          <w:b/>
          <w:bCs/>
          <w:color w:val="E87722"/>
          <w:sz w:val="24"/>
          <w:szCs w:val="24"/>
        </w:rPr>
        <w:t>Michael T. Roberts, Executive Director, Resnick Center for Food Law and Policy, and Professor from Practice, UCLA School of Law</w:t>
      </w:r>
    </w:p>
    <w:p>
      <w:pPr>
        <w:pStyle w:val="Heading2"/>
        <w:spacing w:after="120" w:before="240"/>
      </w:pPr>
      <w:r>
        <w:rPr>
          <w:b/>
          <w:bCs/>
        </w:rPr>
        <w:t>Overview</w:t>
      </w:r>
    </w:p>
    <w:p>
      <w:pPr>
        <w:spacing w:after="160"/>
      </w:pPr>
      <w:r>
        <w:t>This program examines the state laws criminalizing the manufacture and sale of cultivated (cell-cultured) meat and the legal questions they raise. Professor Michael Roberts explains the technology and the federal regulatory framework established by the 2019 FDA–USDA formal agreement; the provisions and stated rationales of Florida Senate Bill 1084 (2024) and the laws that followed in other states and in Italy; the political economy of food regulation, including agricultural subsidies and the Supreme Court's decision in National Pork Producers Council v. Ross; the preemption and dormant Commerce Clause arguments available to challengers; and historical precedents, including state anti-margarine laws and the Supreme Court's decisions in Powell v. Pennsylvania (1888) and Collins v. New Hampshire (1898). The program updates the discussion with the current list of state bans, the litigation in Upside Foods v. Florida, federal clearances through 2025, and the financial condition of the cultivated-meat industry.</w:t>
      </w:r>
    </w:p>
    <w:p>
      <w:pPr>
        <w:pStyle w:val="Heading2"/>
        <w:spacing w:after="120" w:before="240"/>
      </w:pPr>
      <w:r>
        <w:rPr>
          <w:b/>
          <w:bCs/>
        </w:rPr>
        <w:t>Learning Objectives</w:t>
      </w:r>
    </w:p>
    <w:p>
      <w:pPr>
        <w:pStyle w:val="ListParagraph"/>
        <w:numPr>
          <w:ilvl w:val="0"/>
          <w:numId w:val="1"/>
        </w:numPr>
        <w:spacing w:after="80"/>
      </w:pPr>
      <w:r>
        <w:t>Describe cultivated meat and the division of regulatory authority between the FDA and USDA under the 2019 formal agreement.</w:t>
      </w:r>
    </w:p>
    <w:p>
      <w:pPr>
        <w:pStyle w:val="ListParagraph"/>
        <w:numPr>
          <w:ilvl w:val="0"/>
          <w:numId w:val="1"/>
        </w:numPr>
        <w:spacing w:after="80"/>
      </w:pPr>
      <w:r>
        <w:t>Summarize the provisions, penalties, and stated rationales of Florida SB 1084 and the state bans and moratoria enacted through 2025.</w:t>
      </w:r>
    </w:p>
    <w:p>
      <w:pPr>
        <w:pStyle w:val="ListParagraph"/>
        <w:numPr>
          <w:ilvl w:val="0"/>
          <w:numId w:val="1"/>
        </w:numPr>
        <w:spacing w:after="80"/>
      </w:pPr>
      <w:r>
        <w:t>Analyze express, field, and conflict preemption arguments under the Federal Meat Inspection Act, the Poultry Products Inspection Act, and the Federal Food, Drug, and Cosmetic Act as applied to state sales bans.</w:t>
      </w:r>
    </w:p>
    <w:p>
      <w:pPr>
        <w:pStyle w:val="ListParagraph"/>
        <w:numPr>
          <w:ilvl w:val="0"/>
          <w:numId w:val="1"/>
        </w:numPr>
        <w:spacing w:after="80"/>
      </w:pPr>
      <w:r>
        <w:t>Evaluate dormant Commerce Clause challenges to state food laws after National Pork Producers Council v. Ross.</w:t>
      </w:r>
    </w:p>
    <w:p>
      <w:pPr>
        <w:pStyle w:val="ListParagraph"/>
        <w:numPr>
          <w:ilvl w:val="0"/>
          <w:numId w:val="1"/>
        </w:numPr>
        <w:spacing w:after="80"/>
      </w:pPr>
      <w:r>
        <w:t>Draw lessons from historical state regulation of margarine and other novel foods for the likely trajectory of cultivated-meat regulation.</w:t>
      </w:r>
    </w:p>
    <w:p>
      <w:pPr>
        <w:pStyle w:val="Heading2"/>
        <w:spacing w:after="120" w:before="240"/>
      </w:pPr>
      <w:r>
        <w:rPr>
          <w:b/>
          <w:bCs/>
        </w:rPr>
        <w:t>The Product and the Federal Framework</w:t>
      </w:r>
    </w:p>
    <w:p>
      <w:pPr>
        <w:pStyle w:val="ListParagraph"/>
        <w:numPr>
          <w:ilvl w:val="0"/>
          <w:numId w:val="1"/>
        </w:numPr>
        <w:spacing w:after="80"/>
      </w:pPr>
      <w:r>
        <w:t>Cultivated meat is produced by growing animal cells in bioreactors on a nutrient medium; it is distinct from plant-based meat analogues.</w:t>
      </w:r>
    </w:p>
    <w:p>
      <w:pPr>
        <w:pStyle w:val="ListParagraph"/>
        <w:numPr>
          <w:ilvl w:val="0"/>
          <w:numId w:val="1"/>
        </w:numPr>
        <w:spacing w:after="80"/>
      </w:pPr>
      <w:r>
        <w:t>Under the March 2019 FDA–USDA Formal Agreement, FDA oversees cell collection, cell banks, and cell growth and differentiation; USDA's Food Safety and Inspection Service oversees harvesting, processing, labeling, and inspection of products from livestock and poultry cells. Seafood other than catfish remains with FDA.</w:t>
      </w:r>
    </w:p>
    <w:p>
      <w:pPr>
        <w:pStyle w:val="ListParagraph"/>
        <w:numPr>
          <w:ilvl w:val="0"/>
          <w:numId w:val="1"/>
        </w:numPr>
        <w:spacing w:after="80"/>
      </w:pPr>
      <w:r>
        <w:t>FDA completed pre-market consultations for Upside Foods and GOOD Meat (chicken) in 2022–23, and USDA issued grants of inspection in June 2023. Subsequent clearances include Wildtype (cultivated salmon, June 2025), Mission Barns (cultivated pork fat, 2025), and Believer Meats (chicken, November 2025).</w:t>
      </w:r>
    </w:p>
    <w:p>
      <w:pPr>
        <w:pStyle w:val="ListParagraph"/>
        <w:numPr>
          <w:ilvl w:val="0"/>
          <w:numId w:val="1"/>
        </w:numPr>
        <w:spacing w:after="80"/>
      </w:pPr>
      <w:r>
        <w:t>Labeling: USDA has proposed but not finalized labeling rules for cell-cultured meat and poultry; several states have enacted labeling statutes requiring terms such as "cell-cultured" or restricting use of meat terms.</w:t>
      </w:r>
    </w:p>
    <w:p>
      <w:pPr>
        <w:pStyle w:val="Heading2"/>
        <w:spacing w:after="120" w:before="240"/>
      </w:pPr>
      <w:r>
        <w:rPr>
          <w:b/>
          <w:bCs/>
        </w:rPr>
        <w:t>State Bans</w:t>
      </w:r>
    </w:p>
    <w:p>
      <w:pPr>
        <w:pStyle w:val="ListParagraph"/>
        <w:numPr>
          <w:ilvl w:val="0"/>
          <w:numId w:val="1"/>
        </w:numPr>
        <w:spacing w:after="80"/>
      </w:pPr>
      <w:r>
        <w:t>Florida SB 1084 (effective July 1, 2024; Fla. Stat. § 500.452) prohibits manufacturing for sale, selling, holding, or distributing cultivated meat; violation is a second-degree misdemeanor, with license suspension and stop-sale authority for establishments.</w:t>
      </w:r>
    </w:p>
    <w:p>
      <w:pPr>
        <w:pStyle w:val="ListParagraph"/>
        <w:numPr>
          <w:ilvl w:val="0"/>
          <w:numId w:val="1"/>
        </w:numPr>
        <w:spacing w:after="80"/>
      </w:pPr>
      <w:r>
        <w:t>Alabama (SB 23, 2024, effective October 2024), Mississippi (2025), Montana (2025), Nebraska (2025), and Texas (SB 261, effective September 1, 2025, with a 2027 sunset) have enacted bans; Indiana enacted a two-year moratorium (2025). Bills have been introduced in more than a dozen other states; Tennessee's 2024 bill was shelved.</w:t>
      </w:r>
    </w:p>
    <w:p>
      <w:pPr>
        <w:pStyle w:val="ListParagraph"/>
        <w:numPr>
          <w:ilvl w:val="0"/>
          <w:numId w:val="1"/>
        </w:numPr>
        <w:spacing w:after="80"/>
      </w:pPr>
      <w:r>
        <w:t>Stated rationales include food safety, protection of agriculture and ranching, consumer deception, and opposition to perceived international or elite agendas. Italy enacted a national ban in November 2023, which faces challenge under EU single-market rules.</w:t>
      </w:r>
    </w:p>
    <w:p>
      <w:pPr>
        <w:pStyle w:val="Heading2"/>
        <w:spacing w:after="120" w:before="240"/>
      </w:pPr>
      <w:r>
        <w:rPr>
          <w:b/>
          <w:bCs/>
        </w:rPr>
        <w:t>Preemption</w:t>
      </w:r>
    </w:p>
    <w:p>
      <w:pPr>
        <w:pStyle w:val="ListParagraph"/>
        <w:numPr>
          <w:ilvl w:val="0"/>
          <w:numId w:val="1"/>
        </w:numPr>
        <w:spacing w:after="80"/>
      </w:pPr>
      <w:r>
        <w:t>The Federal Meat Inspection Act (21 U.S.C. § 678) and Poultry Products Inspection Act (21 U.S.C. § 467e) expressly preempt state requirements regarding premises, facilities, operations, and marking, labeling, packaging, or ingredients that are in addition to or different from federal requirements, but preserve state authority over products within the state consistent with federal law; National Meat Ass'n v. Harris, 565 U.S. 452 (2012).</w:t>
      </w:r>
    </w:p>
    <w:p>
      <w:pPr>
        <w:pStyle w:val="ListParagraph"/>
        <w:numPr>
          <w:ilvl w:val="0"/>
          <w:numId w:val="1"/>
        </w:numPr>
        <w:spacing w:after="80"/>
      </w:pPr>
      <w:r>
        <w:t>In Upside Foods v. Florida (N.D. Fla.), the court denied a preliminary injunction in October 2024, finding the preemption claims unlikely to succeed because a sales ban is not a "premises, facilities, or operations" requirement, and later dismissed the preemption counts; the Eleventh Circuit affirmed the denial of preliminary relief on March 23, 2026. The dormant Commerce Clause claim proceeds.</w:t>
      </w:r>
    </w:p>
    <w:p>
      <w:pPr>
        <w:pStyle w:val="ListParagraph"/>
        <w:numPr>
          <w:ilvl w:val="0"/>
          <w:numId w:val="1"/>
        </w:numPr>
        <w:spacing w:after="80"/>
      </w:pPr>
      <w:r>
        <w:t>Congressional action, such as a federal framework expressly authorizing interstate sale, would strengthen preemption arguments; no such legislation has been enacted. Federal appropriations riders restricting cultivated-meat procurement by the military have been proposed.</w:t>
      </w:r>
    </w:p>
    <w:p>
      <w:pPr>
        <w:pStyle w:val="Heading2"/>
        <w:spacing w:after="120" w:before="240"/>
      </w:pPr>
      <w:r>
        <w:rPr>
          <w:b/>
          <w:bCs/>
        </w:rPr>
        <w:t>Dormant Commerce Clause</w:t>
      </w:r>
    </w:p>
    <w:p>
      <w:pPr>
        <w:pStyle w:val="ListParagraph"/>
        <w:numPr>
          <w:ilvl w:val="0"/>
          <w:numId w:val="1"/>
        </w:numPr>
        <w:spacing w:after="80"/>
      </w:pPr>
      <w:r>
        <w:t>National Pork Producers Council v. Ross, 598 U.S. 356 (2023), upheld California's Proposition 12 against a dormant Commerce Clause challenge, rejecting an extraterritoriality theory and leaving Pike balancing available but narrowed.</w:t>
      </w:r>
    </w:p>
    <w:p>
      <w:pPr>
        <w:pStyle w:val="ListParagraph"/>
        <w:numPr>
          <w:ilvl w:val="0"/>
          <w:numId w:val="1"/>
        </w:numPr>
        <w:spacing w:after="80"/>
      </w:pPr>
      <w:r>
        <w:t>State bans that apply equally to in-state and out-of-state producers face a difficult discrimination argument; plaintiffs rely on legislative statements of protectionist purpose and on Pike balancing. The Florida litigation is the leading test of this theory.</w:t>
      </w:r>
    </w:p>
    <w:p>
      <w:pPr>
        <w:pStyle w:val="ListParagraph"/>
        <w:numPr>
          <w:ilvl w:val="0"/>
          <w:numId w:val="1"/>
        </w:numPr>
        <w:spacing w:after="80"/>
      </w:pPr>
      <w:r>
        <w:t>Historical analogue: Collins v. New Hampshire, 171 U.S. 30 (1898), struck down a state law requiring margarine to be colored pink as an effective prohibition of a lawful article of interstate commerce, while Powell v. Pennsylvania, 127 U.S. 678 (1888), had upheld a state margarine ban as a police-power measure. Wisconsin's margarine ban lasted until 1967.</w:t>
      </w:r>
    </w:p>
    <w:p>
      <w:pPr>
        <w:pStyle w:val="Heading2"/>
        <w:spacing w:after="120" w:before="240"/>
      </w:pPr>
      <w:r>
        <w:rPr>
          <w:b/>
          <w:bCs/>
        </w:rPr>
        <w:t>Policy Context</w:t>
      </w:r>
    </w:p>
    <w:p>
      <w:pPr>
        <w:pStyle w:val="ListParagraph"/>
        <w:numPr>
          <w:ilvl w:val="0"/>
          <w:numId w:val="1"/>
        </w:numPr>
        <w:spacing w:after="80"/>
      </w:pPr>
      <w:r>
        <w:t>Federal farm subsidies, crop insurance, and the regulatory treatment of concentrated animal feeding operations shape the competitive landscape for alternative proteins.</w:t>
      </w:r>
    </w:p>
    <w:p>
      <w:pPr>
        <w:pStyle w:val="ListParagraph"/>
        <w:numPr>
          <w:ilvl w:val="0"/>
          <w:numId w:val="1"/>
        </w:numPr>
        <w:spacing w:after="80"/>
      </w:pPr>
      <w:r>
        <w:t>Consumer trust is central to food regulation; disclosure and labeling regimes rather than bans have historically been the durable regulatory response to novel foods.</w:t>
      </w:r>
    </w:p>
    <w:p>
      <w:pPr>
        <w:pStyle w:val="ListParagraph"/>
        <w:numPr>
          <w:ilvl w:val="0"/>
          <w:numId w:val="1"/>
        </w:numPr>
        <w:spacing w:after="80"/>
      </w:pPr>
      <w:r>
        <w:t>Industry condition: the Good Food Institute reported approximately 140 cultivated-meat companies worldwide in 2026, with 2025 investment of about $74 million, down sharply from the 2021 peak; Believer Meats entered insolvency in December 2025.</w:t>
      </w:r>
    </w:p>
    <w:p>
      <w:pPr>
        <w:pStyle w:val="Heading2"/>
        <w:spacing w:after="120" w:before="240"/>
      </w:pPr>
      <w:r>
        <w:rPr>
          <w:b/>
          <w:bCs/>
        </w:rPr>
        <w:t>Developments to Know</w:t>
      </w:r>
    </w:p>
    <w:p>
      <w:pPr>
        <w:pStyle w:val="ListParagraph"/>
        <w:numPr>
          <w:ilvl w:val="0"/>
          <w:numId w:val="1"/>
        </w:numPr>
        <w:spacing w:after="80"/>
      </w:pPr>
      <w:r>
        <w:t>State bans in Florida, Alabama, Mississippi, Montana, Nebraska, and Texas, and an Indiana moratorium (2024–25).</w:t>
      </w:r>
    </w:p>
    <w:p>
      <w:pPr>
        <w:pStyle w:val="ListParagraph"/>
        <w:numPr>
          <w:ilvl w:val="0"/>
          <w:numId w:val="1"/>
        </w:numPr>
        <w:spacing w:after="80"/>
      </w:pPr>
      <w:r>
        <w:t>Upside Foods v. Florida: preliminary injunction denied (October 2024); preemption claims dismissed; Eleventh Circuit affirmed denial of preliminary injunction (March 23, 2026); dormant Commerce Clause claim pending.</w:t>
      </w:r>
    </w:p>
    <w:p>
      <w:pPr>
        <w:pStyle w:val="ListParagraph"/>
        <w:numPr>
          <w:ilvl w:val="0"/>
          <w:numId w:val="1"/>
        </w:numPr>
        <w:spacing w:after="80"/>
      </w:pPr>
      <w:r>
        <w:t>Federal clearances: Wildtype salmon (June 2025), Mission Barns pork fat (2025), Believer Meats chicken (November 2025).</w:t>
      </w:r>
    </w:p>
    <w:p>
      <w:pPr>
        <w:pStyle w:val="ListParagraph"/>
        <w:numPr>
          <w:ilvl w:val="0"/>
          <w:numId w:val="1"/>
        </w:numPr>
        <w:spacing w:after="80"/>
      </w:pPr>
      <w:r>
        <w:t>Industry contraction: Believer Meats insolvency (December 2025); 2025 global investment approximately $74 million (GFI 2026).</w:t>
      </w:r>
    </w:p>
    <w:p>
      <w:pPr>
        <w:pStyle w:val="ListParagraph"/>
        <w:numPr>
          <w:ilvl w:val="0"/>
          <w:numId w:val="1"/>
        </w:numPr>
        <w:spacing w:after="80"/>
      </w:pPr>
      <w:r>
        <w:t>Italy's 2023 ban remains under challenge in the European Union; the Netherlands and United Kingdom have authorized limited tastings and pet-food uses.</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Open Sans" w:cs="Open Sans" w:eastAsia="Open Sans" w:hAnsi="Open Sans"/>
        <w:color w:val="999999"/>
        <w:sz w:val="16"/>
        <w:szCs w:val="16"/>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Montserrat" w:cs="Montserrat" w:eastAsia="Montserrat" w:hAnsi="Montserrat"/>
        <w:color w:val="999999"/>
        <w:sz w:val="16"/>
        <w:szCs w:val="16"/>
      </w:rPr>
      <w:t xml:space="preserve">TalksOnLaw — Written Materials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Open Sans" w:cs="Open Sans" w:eastAsia="Open Sans" w:hAnsi="Open Sans"/>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240"/>
    </w:pPr>
    <w:rPr>
      <w:rFonts w:ascii="Montserrat" w:cs="Montserrat" w:eastAsia="Montserrat" w:hAnsi="Montserrat"/>
      <w:b/>
      <w:bCs/>
      <w:sz w:val="36"/>
      <w:szCs w:val="36"/>
    </w:rPr>
  </w:style>
  <w:style w:type="paragraph" w:styleId="Heading2">
    <w:name w:val="Heading 2"/>
    <w:basedOn w:val="Normal"/>
    <w:next w:val="Normal"/>
    <w:qFormat/>
    <w:pPr>
      <w:spacing w:after="120" w:before="200"/>
    </w:pPr>
    <w:rPr>
      <w:rFonts w:ascii="Montserrat" w:cs="Montserrat" w:eastAsia="Montserrat" w:hAnsi="Montserrat"/>
      <w:b/>
      <w:bCs/>
      <w:sz w:val="30"/>
      <w:szCs w:val="30"/>
    </w:rPr>
  </w:style>
  <w:style w:type="paragraph" w:styleId="Heading3">
    <w:name w:val="Heading 3"/>
    <w:basedOn w:val="Normal"/>
    <w:next w:val="Normal"/>
    <w:qFormat/>
    <w:pPr>
      <w:spacing w:after="100" w:before="160"/>
    </w:pPr>
    <w:rPr>
      <w:rFonts w:ascii="Montserrat" w:cs="Montserrat" w:eastAsia="Montserrat" w:hAnsi="Montserrat"/>
      <w:b/>
      <w:bCs/>
      <w:sz w:val="26"/>
      <w:szCs w:val="26"/>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2026-09-28T18:13:13.289Z</dcterms:created>
  <dcterms:modified xsi:type="dcterms:W3CDTF">2026-09-28T18:13:13.289Z</dcterms:modified>
</cp:coreProperties>
</file>

<file path=docProps/custom.xml><?xml version="1.0" encoding="utf-8"?>
<Properties xmlns="http://schemas.openxmlformats.org/officeDocument/2006/custom-properties" xmlns:vt="http://schemas.openxmlformats.org/officeDocument/2006/docPropsVTypes"/>
</file>