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80"/>
      </w:pPr>
      <w:r>
        <w:rPr>
          <w:rFonts w:ascii="Montserrat" w:cs="Montserrat" w:eastAsia="Montserrat" w:hAnsi="Montserrat"/>
          <w:b/>
          <w:bCs/>
          <w:sz w:val="36"/>
          <w:szCs w:val="36"/>
        </w:rPr>
        <w:t xml:space="preserve">The Weapons of a Hostile Takeover</w:t>
      </w:r>
    </w:p>
    <w:p>
      <w:pPr>
        <w:spacing w:after="200"/>
      </w:pPr>
      <w:r>
        <w:rPr>
          <w:rFonts w:ascii="Montserrat" w:cs="Montserrat" w:eastAsia="Montserrat" w:hAnsi="Montserrat"/>
          <w:b/>
          <w:bCs/>
          <w:color w:val="E87722"/>
          <w:sz w:val="24"/>
          <w:szCs w:val="24"/>
        </w:rPr>
        <w:t xml:space="preserve">Prof. John Morley</w:t>
      </w:r>
    </w:p>
    <w:p>
      <w:pPr>
        <w:pBdr>
          <w:bottom w:val="single" w:color="E87722" w:sz="6"/>
        </w:pBdr>
        <w:spacing w:after="300"/>
      </w:pPr>
    </w:p>
    <w:p>
      <w:pPr>
        <w:pStyle w:val="Heading2"/>
        <w:spacing w:after="120" w:before="240"/>
      </w:pPr>
      <w:r>
        <w:rPr>
          <w:b/>
          <w:bCs/>
        </w:rPr>
        <w:t xml:space="preserve">Overview</w:t>
      </w:r>
    </w:p>
    <w:p>
      <w:pPr>
        <w:spacing w:after="160"/>
      </w:pPr>
      <w:r>
        <w:t xml:space="preserve">This program examines the mechanics of hostile takeovers of U.S. public companies and the legal and contractual devices boards use to resist them. It covers the structure of a two-step acquisition, proxy contests, the principal takeover defenses, the judicial standards governing their use, and the policy debate over whether such defenses serve or harm shareholders.</w:t>
      </w:r>
    </w:p>
    <w:p>
      <w:pPr>
        <w:pStyle w:val="Heading2"/>
        <w:spacing w:after="120" w:before="240"/>
      </w:pPr>
      <w:r>
        <w:rPr>
          <w:b/>
          <w:bCs/>
        </w:rPr>
        <w:t xml:space="preserve">Hostile and Friendly Transactions</w:t>
      </w:r>
    </w:p>
    <w:p>
      <w:pPr>
        <w:spacing w:after="160"/>
      </w:pPr>
      <w:r>
        <w:t xml:space="preserve">An acquisition is hostile when it proceeds without the invitation or cooperation of the target's board of directors. Hostile transactions have historically been a minority of U.S. public-company acquisitions, peaking at roughly 20 to 30 percent of deals in the 1980s and declining substantially thereafter; approximately 7 percent of deals in 2014 were hostile.</w:t>
      </w:r>
    </w:p>
    <w:p>
      <w:pPr>
        <w:pStyle w:val="Heading2"/>
        <w:spacing w:after="120" w:before="240"/>
      </w:pPr>
      <w:r>
        <w:rPr>
          <w:b/>
          <w:bCs/>
        </w:rPr>
        <w:t xml:space="preserve">The Two-Step Acquisition</w:t>
      </w:r>
    </w:p>
    <w:p>
      <w:pPr>
        <w:spacing w:after="160"/>
      </w:pPr>
      <w:r>
        <w:t xml:space="preserve">The conventional hostile structure combines a tender offer with a subsequent merger. In the first step, the acquirer offers to purchase a controlling percentage of outstanding shares directly from shareholders. Federal tender offer regulation under the Williams Act of 1968 governs disclosure and procedure in this step. In the second step, the acquirer uses its new majority to approve a squeeze-out or cash-out merger with an entity it controls, eliminating minority shareholders at a price it specifies, as permitted under the corporate law of essentially every state. Because the price paid to the minority is subject to fiduciary and statutory constraints, the amount owed in a squeeze-out is among the most contested questions in mergers and acquisitions law. Coercive two-tier structures, in which a higher front-end price pressures shareholders to tender by threatening a lower back-end price, were curtailed by judicial and statutory developments in the 1980s.</w:t>
      </w:r>
    </w:p>
    <w:p>
      <w:pPr>
        <w:pStyle w:val="Heading2"/>
        <w:spacing w:after="120" w:before="240"/>
      </w:pPr>
      <w:r>
        <w:rPr>
          <w:b/>
          <w:bCs/>
        </w:rPr>
        <w:t xml:space="preserve">Proxy Contests</w:t>
      </w:r>
    </w:p>
    <w:p>
      <w:pPr>
        <w:spacing w:after="160"/>
      </w:pPr>
      <w:r>
        <w:t xml:space="preserve">Because share ownership in U.S. public companies is widely dispersed, shareholder voting is conducted by proxy under the federal proxy rules promulgated under Section 14(a) of the Securities Exchange Act of 1934. An insurgent may seek control without acquiring a majority of shares by soliciting proxies to elect its own nominees to the board. Where a shareholder executes competing proxies, the later-dated proxy generally controls, which historically produced last-minute solicitation campaigns.</w:t>
      </w:r>
    </w:p>
    <w:p>
      <w:pPr>
        <w:pStyle w:val="Heading2"/>
        <w:spacing w:after="120" w:before="240"/>
      </w:pPr>
      <w:r>
        <w:rPr>
          <w:b/>
          <w:bCs/>
        </w:rPr>
        <w:t xml:space="preserve">State Anti-Takeover Statutes</w:t>
      </w:r>
    </w:p>
    <w:p>
      <w:pPr>
        <w:spacing w:after="160"/>
      </w:pPr>
      <w:r>
        <w:t xml:space="preserve">Several states have adopted statutes that impede unapproved acquisitions. The Maryland Control Share Acquisition Act, for example, denies voting rights above a specified threshold, such as 15 percent, to shares acquired without prior approval of the board or shareholders. Such statutes serve the interests of incumbent management and are viewed by some as an inducement for companies to incorporate in the enacting state.</w:t>
      </w:r>
    </w:p>
    <w:p>
      <w:pPr>
        <w:pStyle w:val="Heading2"/>
        <w:spacing w:after="120" w:before="240"/>
      </w:pPr>
      <w:r>
        <w:rPr>
          <w:b/>
          <w:bCs/>
        </w:rPr>
        <w:t xml:space="preserve">The Poison Pill</w:t>
      </w:r>
    </w:p>
    <w:p>
      <w:pPr>
        <w:spacing w:after="160"/>
      </w:pPr>
      <w:r>
        <w:t xml:space="preserve">The shareholder rights plan, or poison pill, was developed in the 1980s by Martin Lipton of Wachtell, Lipton, Rosen &amp; Katz. Under a rights plan, the board may issue rights that entitle all shareholders other than an acquirer to purchase additional shares at a substantial discount once the acquirer crosses an ownership threshold, diluting both the acquirer's percentage ownership and the value of its holdings. The Delaware Supreme Court upheld the validity of the rights plan in Moran v. Household International, Inc. (Del. 1985). Because a board may adopt a rights plan by resolution at any time, every corporation effectively possesses one. A pill's principal vulnerability is that the board may redeem it; an acquirer that gains control of the board before triggering the pill may remove it, whereas rights already distributed cannot be unilaterally recalled.</w:t>
      </w:r>
    </w:p>
    <w:p>
      <w:pPr>
        <w:pStyle w:val="Heading2"/>
        <w:spacing w:after="120" w:before="240"/>
      </w:pPr>
      <w:r>
        <w:rPr>
          <w:b/>
          <w:bCs/>
        </w:rPr>
        <w:t xml:space="preserve">Staggered Boards</w:t>
      </w:r>
    </w:p>
    <w:p>
      <w:pPr>
        <w:spacing w:after="160"/>
      </w:pPr>
      <w:r>
        <w:t xml:space="preserve">A classified or staggered board divides directors into classes, up to three under Section 141(d) of the Delaware General Corporation Law, with only one class elected each year. A shareholder holding or controlling a majority of votes can therefore replace at most one-third of the board in a single election and must wait through two annual meetings to obtain control. Where the classification appears in the bylaws, shareholders may amend it; where it appears in the certificate of incorporation, amendment requires board approval. The combination of a staggered board and a poison pill has been regarded as the most effective formal defense available.</w:t>
      </w:r>
    </w:p>
    <w:p>
      <w:pPr>
        <w:pStyle w:val="Heading2"/>
        <w:spacing w:after="120" w:before="240"/>
      </w:pPr>
      <w:r>
        <w:rPr>
          <w:b/>
          <w:bCs/>
        </w:rPr>
        <w:t xml:space="preserve">Golden Parachutes, Greenmail, and Other Devices</w:t>
      </w:r>
    </w:p>
    <w:p>
      <w:pPr>
        <w:spacing w:after="160"/>
      </w:pPr>
      <w:r>
        <w:t xml:space="preserve">A golden parachute is a contractual payment to an executive upon a change of control. It deters acquisitions by increasing their cost but may also facilitate them by aligning the executive's interests with a sale; because an executive negotiates compensation at arm's length with the corporation, such arrangements do not ordinarily implicate the executive's fiduciary duty. Greenmail is the repurchase of a disruptive shareholder's stock at a premium or another payment to induce its departure, subject to the requirement that the board's decision be made independently of the shareholder's influence. A so-called macaroni defense embeds change-of-control provisions in debt instruments that accelerate large obligations upon an acquisition. The Pac-Man defense is a counter-acquisition in which the target seeks to acquire the bidder.</w:t>
      </w:r>
    </w:p>
    <w:p>
      <w:pPr>
        <w:pStyle w:val="Heading2"/>
        <w:spacing w:after="120" w:before="240"/>
      </w:pPr>
      <w:r>
        <w:rPr>
          <w:b/>
          <w:bCs/>
        </w:rPr>
        <w:t xml:space="preserve">Judicial Review of Defensive Measures</w:t>
      </w:r>
    </w:p>
    <w:p>
      <w:pPr>
        <w:spacing w:after="160"/>
      </w:pPr>
      <w:r>
        <w:t xml:space="preserve">Under Delaware law, a board adopting a defensive measure must show reasonable grounds for believing a threat to corporate policy existed and that the response was reasonable in relation to the threat, the standard articulated in Unocal Corp. v. Mesa Petroleum Co. (Del. 1985) and developed by the Delaware Supreme Court in subsequent cases. The guest's assessment at the time of the interview was that these constraints had become largely nominal in practice.</w:t>
      </w:r>
    </w:p>
    <w:p>
      <w:pPr>
        <w:pStyle w:val="Heading2"/>
        <w:spacing w:after="120" w:before="240"/>
      </w:pPr>
      <w:r>
        <w:rPr>
          <w:b/>
          <w:bCs/>
        </w:rPr>
        <w:t xml:space="preserve">Rationale and Critique</w:t>
      </w:r>
    </w:p>
    <w:p>
      <w:pPr>
        <w:spacing w:after="160"/>
      </w:pPr>
      <w:r>
        <w:t xml:space="preserve">Proponents of takeover defenses argue that they strengthen a board's bargaining position, enabling it to extract a higher price than a coercive bid would yield, and that they protect employees and other constituencies from acquirers who may liquidate assets or eliminate jobs. Critics respond that control should flow to those who value the enterprise most, that efficient management maximizes value, and that the market for corporate control is an essential check on managers whose incentive to retain their positions is otherwise unconstrained.</w:t>
      </w:r>
    </w:p>
    <w:p>
      <w:pPr>
        <w:pStyle w:val="Heading2"/>
        <w:spacing w:after="120" w:before="240"/>
      </w:pPr>
      <w:r>
        <w:rPr>
          <w:b/>
          <w:bCs/>
        </w:rPr>
        <w:t xml:space="preserve">Dual-Class Capital Structures</w:t>
      </w:r>
    </w:p>
    <w:p>
      <w:pPr>
        <w:spacing w:after="160"/>
      </w:pPr>
      <w:r>
        <w:t xml:space="preserve">Corporations may issue multiple classes of common stock with differing voting rights, as Google and Facebook have done, allowing founders to retain voting control disproportionate to their economic ownership. Such structures may mitigate the rational apathy of dispersed shareholders by concentrating control in a party with strong incentives to monitor management, at the cost of reduced accountability. Delaware law affords broad flexibility in designing these arrangements, including provisions that convert high-vote shares upon transfer or a founder's departure.</w:t>
      </w:r>
    </w:p>
    <w:p>
      <w:pPr>
        <w:pStyle w:val="Heading2"/>
        <w:spacing w:after="120" w:before="240"/>
      </w:pPr>
      <w:r>
        <w:rPr>
          <w:b/>
          <w:bCs/>
        </w:rPr>
        <w:t xml:space="preserve">Empirical Limits</w:t>
      </w:r>
    </w:p>
    <w:p>
      <w:pPr>
        <w:spacing w:after="160"/>
      </w:pPr>
      <w:r>
        <w:t xml:space="preserve">The effects of takeover defenses are difficult to measure because a company's decision to adopt a defense is correlated with other factors affecting its performance, a problem economists term endogeneity. The guest cautions that the literature has not reached a definitive resolution.</w:t>
      </w:r>
    </w:p>
    <w:p>
      <w:pPr>
        <w:pStyle w:val="Heading2"/>
        <w:spacing w:after="120" w:before="240"/>
      </w:pPr>
      <w:r>
        <w:rPr>
          <w:b/>
          <w:bCs/>
        </w:rPr>
        <w:t xml:space="preserve">Developments to Know</w:t>
      </w:r>
    </w:p>
    <w:p>
      <w:pPr>
        <w:spacing w:after="160"/>
      </w:pPr>
      <w:r>
        <w:t xml:space="preserve">Delaware courts have reasserted the Unocal standard. In The Williams Companies Stockholder Litigation, the Court of Chancery in 2021 invalidated a rights plan with a 5 percent trigger adopted during the COVID-19 market disruption as disproportionate to any cognizable threat, and the Delaware Supreme Court affirmed. Staggered boards have declined sharply among large public companies, from 61 percent of the S&amp;P 500 in 2002 to approximately 12 percent in 2022. Effective September 1, 2022, the Securities and Exchange Commission's universal proxy rules require that all duly nominated director candidates appear on a single proxy card in contested elections, facilitating proxy contests. In 2025, Delaware enacted Senate Bill 21, amending Sections 144 and 220 of the Delaware General Corporation Law to establish safe harbors for transactions involving controlling stockholders and to define a controlling stockholder as one holding at least one-third of the voting power together with managerial authority; the Delaware Supreme Court upheld the amendments in 2026. Several prominent companies, including Tesla, have reincorporated outside Delaware in the same period.</w:t>
      </w:r>
    </w:p>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Open Sans" w:cs="Open Sans" w:eastAsia="Open Sans" w:hAnsi="Open Sans"/>
        <w:color w:val="999999"/>
        <w:sz w:val="16"/>
        <w:szCs w:val="16"/>
      </w:rPr>
      <w:t xml:space="preserve">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Montserrat" w:cs="Montserrat" w:eastAsia="Montserrat" w:hAnsi="Montserrat"/>
        <w:color w:val="999999"/>
        <w:sz w:val="16"/>
        <w:szCs w:val="16"/>
      </w:rPr>
      <w:t xml:space="preserve">TalksOnLaw — Written Materials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Open Sans" w:cs="Open Sans" w:eastAsia="Open Sans" w:hAnsi="Open Sans"/>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240" w:before="240"/>
    </w:pPr>
    <w:rPr>
      <w:rFonts w:ascii="Montserrat" w:cs="Montserrat" w:eastAsia="Montserrat" w:hAnsi="Montserrat"/>
      <w:b/>
      <w:bCs/>
      <w:sz w:val="36"/>
      <w:szCs w:val="36"/>
    </w:rPr>
  </w:style>
  <w:style w:type="paragraph" w:styleId="Heading2">
    <w:name w:val="Heading 2"/>
    <w:basedOn w:val="Normal"/>
    <w:next w:val="Normal"/>
    <w:qFormat/>
    <w:pPr>
      <w:spacing w:after="120" w:before="200"/>
    </w:pPr>
    <w:rPr>
      <w:rFonts w:ascii="Montserrat" w:cs="Montserrat" w:eastAsia="Montserrat" w:hAnsi="Montserrat"/>
      <w:b/>
      <w:bCs/>
      <w:sz w:val="30"/>
      <w:szCs w:val="30"/>
    </w:rPr>
  </w:style>
  <w:style w:type="paragraph" w:styleId="Heading3">
    <w:name w:val="Heading 3"/>
    <w:basedOn w:val="Normal"/>
    <w:next w:val="Normal"/>
    <w:qFormat/>
    <w:pPr>
      <w:spacing w:after="100" w:before="160"/>
    </w:pPr>
    <w:rPr>
      <w:rFonts w:ascii="Montserrat" w:cs="Montserrat" w:eastAsia="Montserrat" w:hAnsi="Montserrat"/>
      <w:b/>
      <w:bCs/>
      <w:sz w:val="26"/>
      <w:szCs w:val="2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2026-09-24T04:38:13.271Z</dcterms:created>
  <dcterms:modified xsi:type="dcterms:W3CDTF">2026-09-24T04:38:13.271Z</dcterms:modified>
</cp:coreProperties>
</file>

<file path=docProps/custom.xml><?xml version="1.0" encoding="utf-8"?>
<Properties xmlns="http://schemas.openxmlformats.org/officeDocument/2006/custom-properties" xmlns:vt="http://schemas.openxmlformats.org/officeDocument/2006/docPropsVTypes"/>
</file>