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Individual Liberty in Post-9/11 America</w:t>
      </w:r>
    </w:p>
    <w:p>
      <w:pPr>
        <w:spacing w:after="200"/>
      </w:pPr>
      <w:r>
        <w:rPr>
          <w:rFonts w:ascii="Montserrat" w:cs="Montserrat" w:eastAsia="Montserrat" w:hAnsi="Montserrat"/>
          <w:b/>
          <w:bCs/>
          <w:color w:val="E87722"/>
          <w:sz w:val="24"/>
          <w:szCs w:val="24"/>
        </w:rPr>
        <w:t xml:space="preserve">Prof. Susan N. Herman</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principal civil liberties consequences of the government's response to the September 11, 2001 attacks, including expanded surveillance authorities, the material support statutes, National Security Letters and associated gag orders, surveillance of Muslim communities, watchlisting and the no-fly list, and suspicionless searches. The guest, a former president of the American Civil Liberties Union, draws on the organization's litigation to assess these measures against constitutional privacy and due process protections.</w:t>
      </w:r>
    </w:p>
    <w:p>
      <w:pPr>
        <w:pStyle w:val="Heading2"/>
        <w:spacing w:after="120" w:before="240"/>
      </w:pPr>
      <w:r>
        <w:rPr>
          <w:b/>
          <w:bCs/>
        </w:rPr>
        <w:t xml:space="preserve">The USA PATRIOT Act</w:t>
      </w:r>
    </w:p>
    <w:p>
      <w:pPr>
        <w:spacing w:after="160"/>
      </w:pPr>
      <w:r>
        <w:t xml:space="preserve">Enacted in October 2001, the USA PATRIOT Act amended statutes across numerous areas of federal law, expanding investigative and surveillance authority. The guest associates its approach with Vice President Cheney's stated view that even a one percent probability of a terrorist connection justified action, producing what she characterizes as dragnet measures that intentionally capture innocent persons in order to identify the guilty.</w:t>
      </w:r>
    </w:p>
    <w:p>
      <w:pPr>
        <w:pStyle w:val="Heading2"/>
        <w:spacing w:after="120" w:before="240"/>
      </w:pPr>
      <w:r>
        <w:rPr>
          <w:b/>
          <w:bCs/>
        </w:rPr>
        <w:t xml:space="preserve">Bulk Collection and Section 215</w:t>
      </w:r>
    </w:p>
    <w:p>
      <w:pPr>
        <w:spacing w:after="160"/>
      </w:pPr>
      <w:r>
        <w:t xml:space="preserve">Section 215 of the PATRIOT Act authorized the government to obtain an order from the Foreign Intelligence Surveillance Court compelling any custodian of records, including telecommunications, medical, educational, and library records, to produce them upon a showing that they might be relevant to a terrorism investigation, without any suspicion of the person whose records were sought. The provision was used to support bulk collection of Americans' telephone metadata, disclosed in 2013. The USA Freedom Act of 2015 ended bulk collection under Section 215 while retaining targeted production authority.</w:t>
      </w:r>
    </w:p>
    <w:p>
      <w:pPr>
        <w:pStyle w:val="Heading2"/>
        <w:spacing w:after="120" w:before="240"/>
      </w:pPr>
      <w:r>
        <w:rPr>
          <w:b/>
          <w:bCs/>
        </w:rPr>
        <w:t xml:space="preserve">National Security Letters and Nondisclosure Orders</w:t>
      </w:r>
    </w:p>
    <w:p>
      <w:pPr>
        <w:spacing w:after="160"/>
      </w:pPr>
      <w:r>
        <w:t xml:space="preserve">National Security Letters, issued under 18 U.S.C. § 2709 and related statutes, permit the FBI to compel production of telecommunications and financial records without judicial approval, and were issued hundreds of thousands of times. Recipients were subject to nondisclosure provisions barring them from revealing receipt of a letter. In litigation brought by an internet service provider under the pseudonym John Doe and by Connecticut librarians, the courts held that the nondisclosure provisions as then written violated the First Amendment; in Doe v. Mukasey (2d Cir. 2008), the court required the government to initiate judicial review of any gag it sought to impose and clarified that recipients may consult counsel and challenge the letters in court.</w:t>
      </w:r>
    </w:p>
    <w:p>
      <w:pPr>
        <w:pStyle w:val="Heading2"/>
        <w:spacing w:after="120" w:before="240"/>
      </w:pPr>
      <w:r>
        <w:rPr>
          <w:b/>
          <w:bCs/>
        </w:rPr>
        <w:t xml:space="preserve">Material Support Statutes</w:t>
      </w:r>
    </w:p>
    <w:p>
      <w:pPr>
        <w:spacing w:after="160"/>
      </w:pPr>
      <w:r>
        <w:t xml:space="preserve">The federal material support statutes, 18 U.S.C. §§ 2339A and 2339B, prohibit providing support to designated foreign terrorist organizations irrespective of the donor's intent, with narrow exceptions for medicine and religious materials. The PATRIOT Act added "expert advice or assistance" to the forms of prohibited support. In Holder v. Humanitarian Law Project (2010), the Supreme Court held six to three that applying the statute to organizations seeking to train designated groups in peaceful dispute resolution did not violate the First Amendment, and that the statute's terms reached such training. The guest observes that the statute extends to journalists and lawyers who interact with designated groups.</w:t>
      </w:r>
    </w:p>
    <w:p>
      <w:pPr>
        <w:pStyle w:val="Heading2"/>
        <w:spacing w:after="120" w:before="240"/>
      </w:pPr>
      <w:r>
        <w:rPr>
          <w:b/>
          <w:bCs/>
        </w:rPr>
        <w:t xml:space="preserve">Surveillance of Muslim Communities</w:t>
      </w:r>
    </w:p>
    <w:p>
      <w:pPr>
        <w:spacing w:after="160"/>
      </w:pPr>
      <w:r>
        <w:t xml:space="preserve">The New York City Police Department mapped Muslim communities and placed informants in mosques and political organizations without individualized suspicion, a program that department sources acknowledged generated no leads. The guest identifies the resulting chilling effects on the freedoms of speech, association, and religion, including reduced mosque attendance, and describes the ACLU's litigation in Raza v. City of New York challenging the program under the First and Fourteenth Amendments and the Handschu consent decree governing NYPD political surveillance.</w:t>
      </w:r>
    </w:p>
    <w:p>
      <w:pPr>
        <w:pStyle w:val="Heading2"/>
        <w:spacing w:after="120" w:before="240"/>
      </w:pPr>
      <w:r>
        <w:rPr>
          <w:b/>
          <w:bCs/>
        </w:rPr>
        <w:t xml:space="preserve">The No-Fly List and Redress</w:t>
      </w:r>
    </w:p>
    <w:p>
      <w:pPr>
        <w:spacing w:after="160"/>
      </w:pPr>
      <w:r>
        <w:t xml:space="preserve">Federal agencies place individuals on the no-fly list through undisclosed criteria, and the Department of Homeland Security's redress process historically neither confirmed nor denied listing. The guest describes ACLU litigation on behalf of a commercial pilot removed from the list after discovery revealed the basis for his listing, and Latif v. Holder, brought on behalf of United States citizens, including veterans, stranded abroad. In that case, the district court held in 2014 that the redress process violated procedural due process, and the case settled with revised procedures. The guest identifies a constitutional right to travel, particularly for citizens prevented from returning to the country.</w:t>
      </w:r>
    </w:p>
    <w:p>
      <w:pPr>
        <w:pStyle w:val="Heading2"/>
        <w:spacing w:after="120" w:before="240"/>
      </w:pPr>
      <w:r>
        <w:rPr>
          <w:b/>
          <w:bCs/>
        </w:rPr>
        <w:t xml:space="preserve">Suspicionless Searches</w:t>
      </w:r>
    </w:p>
    <w:p>
      <w:pPr>
        <w:spacing w:after="160"/>
      </w:pPr>
      <w:r>
        <w:t xml:space="preserve">The NYPD's subway container inspection program, upheld in MacWade v. Kelly (2d Cir. 2006) as a reasonable special-needs search, is designed to select passengers at random. The guest recounts litigation on behalf of a Kashmiri-American passenger stopped twenty-one times, a pattern a statistician calculated was inconsistent with random selection.</w:t>
      </w:r>
    </w:p>
    <w:p>
      <w:pPr>
        <w:pStyle w:val="Heading2"/>
        <w:spacing w:after="120" w:before="240"/>
      </w:pPr>
      <w:r>
        <w:rPr>
          <w:b/>
          <w:bCs/>
        </w:rPr>
        <w:t xml:space="preserve">Privacy and Democratic Accountability</w:t>
      </w:r>
    </w:p>
    <w:p>
      <w:pPr>
        <w:spacing w:after="160"/>
      </w:pPr>
      <w:r>
        <w:t xml:space="preserve">The guest argues that privacy is a precondition of democracy, distinguishing voluntary disclosure to private parties from compelled disclosure to a government with coercive power, and contends that the secrecy surrounding post-9/11 measures prevents both public evaluation of their effectiveness and the identification of avenues for reform. She notes that Congress has not undertaken a systematic assessment of whether these measures have improved security.</w:t>
      </w:r>
    </w:p>
    <w:p>
      <w:pPr>
        <w:pStyle w:val="Heading2"/>
        <w:spacing w:after="120" w:before="240"/>
      </w:pPr>
      <w:r>
        <w:rPr>
          <w:b/>
          <w:bCs/>
        </w:rPr>
        <w:t xml:space="preserve">Developments to Know</w:t>
      </w:r>
    </w:p>
    <w:p>
      <w:pPr>
        <w:spacing w:after="160"/>
      </w:pPr>
      <w:r>
        <w:t xml:space="preserve">Section 215 of the PATRIOT Act expired on March 15, 2020 and has not been reauthorized. Section 702 of the Foreign Intelligence Surveillance Act was reauthorized by the Reforming Intelligence and Securing America Act of 2024 with a two-year sunset, and lapsed in June 2026 after Congress did not agree on further reauthorization; surveillance continues under Foreign Intelligence Surveillance Court certifications approved in March 2026, and reauthorization remains pending. In Carpenter v. United States (2018), the Supreme Court held that acquisition of historical cell-site location records is a Fourth Amendment search generally requiring a warrant. The USA Freedom Act revised the nondisclosure procedures for National Security Letters, and the Ninth Circuit upheld the revised provisions in In re National Security Letter (2017). Raza v. City of New York settled in 2017 with revisions to the Handschu Guidelines prohibiting investigations based on race, religion, or ethnicity and establishing a civilian representative within the NYPD's oversight process. In Tanzin v. Tanvir (2020), the Supreme Court held unanimously that the Religious Freedom Restoration Act permits suits for money damages against federal officials, in a case brought by Muslim men placed on the no-fly list after declining to serve as informants. In FBI v. Fikre (2024), the Court held unanimously that removal from the no-fly list did not moot a challenge where the government did not disclose the basis for listing or disclaim relisting. In Trump v. Hawaii (2018), the Court upheld the presidential proclamation restricting entry from several predominantly Muslim countries.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2026-09-24T04:38:13.850Z</dcterms:created>
  <dcterms:modified xsi:type="dcterms:W3CDTF">2026-09-24T04:38:13.850Z</dcterms:modified>
</cp:coreProperties>
</file>

<file path=docProps/custom.xml><?xml version="1.0" encoding="utf-8"?>
<Properties xmlns="http://schemas.openxmlformats.org/officeDocument/2006/custom-properties" xmlns:vt="http://schemas.openxmlformats.org/officeDocument/2006/docPropsVTypes"/>
</file>