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Prosecutorial Discretion: Power and Responsibility</w:t>
      </w:r>
    </w:p>
    <w:p>
      <w:pPr>
        <w:spacing w:after="200"/>
      </w:pPr>
      <w:r>
        <w:rPr>
          <w:rFonts w:ascii="Montserrat" w:cs="Montserrat" w:eastAsia="Montserrat" w:hAnsi="Montserrat"/>
          <w:b/>
          <w:bCs/>
          <w:color w:val="E87722"/>
          <w:sz w:val="24"/>
          <w:szCs w:val="24"/>
        </w:rPr>
        <w:t>Bruce A. Green, Louis Stein Chair of Law and Director, Stein Center for Law and Ethics, Fordham University School of Law; Rebecca Roiphe, Joseph Solomon Distinguished Professor of Law, New York Law School</w:t>
      </w:r>
    </w:p>
    <w:p>
      <w:pPr>
        <w:pStyle w:val="Heading2"/>
        <w:spacing w:after="120" w:before="240"/>
      </w:pPr>
      <w:r>
        <w:rPr>
          <w:b/>
          <w:bCs/>
        </w:rPr>
        <w:t>Overview</w:t>
      </w:r>
    </w:p>
    <w:p>
      <w:pPr>
        <w:spacing w:after="160"/>
      </w:pPr>
      <w:r>
        <w:t>This program examines the discretion exercised by prosecutors at every stage of a criminal case and the ethical and constitutional rules that constrain it. Professors Bruce Green and Rebecca Roiphe, both former prosecutors, explain the probable-cause minimum under ABA Model Rule 3.8(a) and the higher internal standards many offices apply; how charging and declination decisions are made in federal and state offices; the prosecutor's role before the grand jury; the effect of high-profile defendants on prosecutorial judgment; disclosure obligations under Brady v. Maryland, Giglio, and Rule 3.8(d); overcharging and plea bargaining; disparities in charging; trial publicity under Rules 3.6 and 3.8(f); and the post-conviction duties added to Rule 3.8 in 2008. The program updates the discussion with subsequent developments, including New York's discovery reform, changes in Justice Department charging policy, and the 2025–26 controversies over political influence and the independence of prosecutors.</w:t>
      </w:r>
    </w:p>
    <w:p>
      <w:pPr>
        <w:pStyle w:val="Heading2"/>
        <w:spacing w:after="120" w:before="240"/>
      </w:pPr>
      <w:r>
        <w:rPr>
          <w:b/>
          <w:bCs/>
        </w:rPr>
        <w:t>Learning Objectives</w:t>
      </w:r>
    </w:p>
    <w:p>
      <w:pPr>
        <w:pStyle w:val="ListParagraph"/>
        <w:numPr>
          <w:ilvl w:val="0"/>
          <w:numId w:val="1"/>
        </w:numPr>
        <w:spacing w:after="80"/>
      </w:pPr>
      <w:r>
        <w:t>Identify the stages at which prosecutors exercise discretion and the ethical minimum for charging under Rule 3.8(a), and compare it with the internal standards adopted by prosecuting offices.</w:t>
      </w:r>
    </w:p>
    <w:p>
      <w:pPr>
        <w:pStyle w:val="ListParagraph"/>
        <w:numPr>
          <w:ilvl w:val="0"/>
          <w:numId w:val="1"/>
        </w:numPr>
        <w:spacing w:after="80"/>
      </w:pPr>
      <w:r>
        <w:t>Explain the prosecutor's role in grand jury proceedings and the ethical considerations in presenting a case the prosecutor does not wish to charge.</w:t>
      </w:r>
    </w:p>
    <w:p>
      <w:pPr>
        <w:pStyle w:val="ListParagraph"/>
        <w:numPr>
          <w:ilvl w:val="0"/>
          <w:numId w:val="1"/>
        </w:numPr>
        <w:spacing w:after="80"/>
      </w:pPr>
      <w:r>
        <w:t>Distinguish the constitutional disclosure obligation under Brady and Giglio from the broader ethical duty under Rule 3.8(d), and describe the timing of disclosure, including New York Criminal Procedure Law article 245.</w:t>
      </w:r>
    </w:p>
    <w:p>
      <w:pPr>
        <w:pStyle w:val="ListParagraph"/>
        <w:numPr>
          <w:ilvl w:val="0"/>
          <w:numId w:val="1"/>
        </w:numPr>
        <w:spacing w:after="80"/>
      </w:pPr>
      <w:r>
        <w:t>Analyze the limits on extrajudicial statements by prosecutors under Rules 3.6 and 3.8(f) and the consequences of violations.</w:t>
      </w:r>
    </w:p>
    <w:p>
      <w:pPr>
        <w:pStyle w:val="ListParagraph"/>
        <w:numPr>
          <w:ilvl w:val="0"/>
          <w:numId w:val="1"/>
        </w:numPr>
        <w:spacing w:after="80"/>
      </w:pPr>
      <w:r>
        <w:t>Evaluate mechanisms for holding prosecutors accountable, including discipline, judicial remedies, and elections, in light of recent controversies over the independence of prosecutors.</w:t>
      </w:r>
    </w:p>
    <w:p>
      <w:pPr>
        <w:pStyle w:val="Heading2"/>
        <w:spacing w:after="120" w:before="240"/>
      </w:pPr>
      <w:r>
        <w:rPr>
          <w:b/>
          <w:bCs/>
        </w:rPr>
        <w:t>The Scope of Prosecutorial Power</w:t>
      </w:r>
    </w:p>
    <w:p>
      <w:pPr>
        <w:pStyle w:val="ListParagraph"/>
        <w:numPr>
          <w:ilvl w:val="0"/>
          <w:numId w:val="1"/>
        </w:numPr>
        <w:spacing w:after="80"/>
      </w:pPr>
      <w:r>
        <w:t>Prosecutors decide whether to investigate, whether and what to charge, what plea to offer, what sentence to recommend, and how to try a case. Robert H. Jackson's 1940 address, The Federal Prosecutor, remains the classic statement of the power to destroy lives and reputations.</w:t>
      </w:r>
    </w:p>
    <w:p>
      <w:pPr>
        <w:pStyle w:val="ListParagraph"/>
        <w:numPr>
          <w:ilvl w:val="0"/>
          <w:numId w:val="1"/>
        </w:numPr>
        <w:spacing w:after="80"/>
      </w:pPr>
      <w:r>
        <w:t>ABA Model Rule 3.8(a) prohibits prosecuting a charge the prosecutor knows is not supported by probable cause. Many offices apply a higher internal standard; the Manhattan District Attorney's 2011 motion to dismiss the Dominique Strauss-Kahn indictment stated that the office would not proceed unless it was itself convinced of guilt beyond a reasonable doubt.</w:t>
      </w:r>
    </w:p>
    <w:p>
      <w:pPr>
        <w:pStyle w:val="ListParagraph"/>
        <w:numPr>
          <w:ilvl w:val="0"/>
          <w:numId w:val="1"/>
        </w:numPr>
        <w:spacing w:after="80"/>
      </w:pPr>
      <w:r>
        <w:t>Federal conviction rates exceed 90 percent, reflecting case selection, the leverage of severe sentences in plea bargaining, and the involvement of federal investigative agencies. Justice Department policy on charging the most serious readily provable offense has shifted across administrations (Ashcroft 2003; Holder 2010 and 2013; Sessions 2017; Garland 2022; 2025 revisions).</w:t>
      </w:r>
    </w:p>
    <w:p>
      <w:pPr>
        <w:pStyle w:val="Heading2"/>
        <w:spacing w:after="120" w:before="240"/>
      </w:pPr>
      <w:r>
        <w:rPr>
          <w:b/>
          <w:bCs/>
        </w:rPr>
        <w:t>The Grand Jury</w:t>
      </w:r>
    </w:p>
    <w:p>
      <w:pPr>
        <w:pStyle w:val="ListParagraph"/>
        <w:numPr>
          <w:ilvl w:val="0"/>
          <w:numId w:val="1"/>
        </w:numPr>
        <w:spacing w:after="80"/>
      </w:pPr>
      <w:r>
        <w:t>The grand jury operates ex parte under the prosecutor's guidance; the prosecutor serves as its legal advisor and shapes the presentation. A "neutral" presentation, as in the 2014 Ferguson proceeding concerning Officer Darren Wilson, is itself a signal.</w:t>
      </w:r>
    </w:p>
    <w:p>
      <w:pPr>
        <w:pStyle w:val="ListParagraph"/>
        <w:numPr>
          <w:ilvl w:val="0"/>
          <w:numId w:val="1"/>
        </w:numPr>
        <w:spacing w:after="80"/>
      </w:pPr>
      <w:r>
        <w:t>A prosecutor who does not believe charges are warranted may decline directly rather than seek a no-bill; transparency about declinations must be balanced against the reputational interests of uncharged persons.</w:t>
      </w:r>
    </w:p>
    <w:p>
      <w:pPr>
        <w:pStyle w:val="ListParagraph"/>
        <w:numPr>
          <w:ilvl w:val="0"/>
          <w:numId w:val="1"/>
        </w:numPr>
        <w:spacing w:after="80"/>
      </w:pPr>
      <w:r>
        <w:t>Release of grand jury materials is governed by Fed. R. Crim. P. 6(e) and state analogues; prosecutors may seek disclosure in the public interest, as occurred in Ferguson.</w:t>
      </w:r>
    </w:p>
    <w:p>
      <w:pPr>
        <w:pStyle w:val="Heading2"/>
        <w:spacing w:after="120" w:before="240"/>
      </w:pPr>
      <w:r>
        <w:rPr>
          <w:b/>
          <w:bCs/>
        </w:rPr>
        <w:t>Disclosure Obligations</w:t>
      </w:r>
    </w:p>
    <w:p>
      <w:pPr>
        <w:pStyle w:val="ListParagraph"/>
        <w:numPr>
          <w:ilvl w:val="0"/>
          <w:numId w:val="1"/>
        </w:numPr>
        <w:spacing w:after="80"/>
      </w:pPr>
      <w:r>
        <w:t>Brady v. Maryland, 373 U.S. 83 (1963), requires disclosure of evidence favorable to the accused that is material to guilt or punishment; Giglio v. United States, 405 U.S. 150 (1972), extends the duty to impeachment evidence. United States v. Ruiz, 536 U.S. 622 (2002), holds that impeachment information need not be disclosed before a guilty plea.</w:t>
      </w:r>
    </w:p>
    <w:p>
      <w:pPr>
        <w:pStyle w:val="ListParagraph"/>
        <w:numPr>
          <w:ilvl w:val="0"/>
          <w:numId w:val="1"/>
        </w:numPr>
        <w:spacing w:after="80"/>
      </w:pPr>
      <w:r>
        <w:t>Rule 3.8(d) requires timely disclosure of all evidence or information known to the prosecutor that tends to negate guilt or mitigate the offense, without a materiality limitation. ABA Formal Opinion 09-454 (2009) confirms that the ethical duty is broader than the constitutional one.</w:t>
      </w:r>
    </w:p>
    <w:p>
      <w:pPr>
        <w:pStyle w:val="ListParagraph"/>
        <w:numPr>
          <w:ilvl w:val="0"/>
          <w:numId w:val="1"/>
        </w:numPr>
        <w:spacing w:after="80"/>
      </w:pPr>
      <w:r>
        <w:t>The prosecution of Senator Ted Stevens (2008) collapsed after disclosure failures; a court-appointed investigator's 2012 report documented the violations.</w:t>
      </w:r>
    </w:p>
    <w:p>
      <w:pPr>
        <w:pStyle w:val="ListParagraph"/>
        <w:numPr>
          <w:ilvl w:val="0"/>
          <w:numId w:val="1"/>
        </w:numPr>
        <w:spacing w:after="80"/>
      </w:pPr>
      <w:r>
        <w:t>New York Criminal Procedure Law article 245 (effective January 1, 2020) requires automatic disclosure of most discoverable material within set deadlines, largely eliminating the timing discretion prosecutors previously exercised.</w:t>
      </w:r>
    </w:p>
    <w:p>
      <w:pPr>
        <w:pStyle w:val="Heading2"/>
        <w:spacing w:after="120" w:before="240"/>
      </w:pPr>
      <w:r>
        <w:rPr>
          <w:b/>
          <w:bCs/>
        </w:rPr>
        <w:t>Overcharging, Plea Bargaining, and Disparity</w:t>
      </w:r>
    </w:p>
    <w:p>
      <w:pPr>
        <w:pStyle w:val="ListParagraph"/>
        <w:numPr>
          <w:ilvl w:val="0"/>
          <w:numId w:val="1"/>
        </w:numPr>
        <w:spacing w:after="80"/>
      </w:pPr>
      <w:r>
        <w:t>Charging the most serious available offense to induce a plea satisfies Rule 3.8(a) if supported by probable cause but can be an abuse of discretion; courts generally permit charge bargaining. Bordenkircher v. Hayes, 434 U.S. 357 (1978).</w:t>
      </w:r>
    </w:p>
    <w:p>
      <w:pPr>
        <w:pStyle w:val="ListParagraph"/>
        <w:numPr>
          <w:ilvl w:val="0"/>
          <w:numId w:val="1"/>
        </w:numPr>
        <w:spacing w:after="80"/>
      </w:pPr>
      <w:r>
        <w:t>Charging-stage decisions can create or magnify racial and class disparities even where arrest patterns are the primary driver; diversion and declination policies vary across offices.</w:t>
      </w:r>
    </w:p>
    <w:p>
      <w:pPr>
        <w:pStyle w:val="ListParagraph"/>
        <w:numPr>
          <w:ilvl w:val="0"/>
          <w:numId w:val="1"/>
        </w:numPr>
        <w:spacing w:after="80"/>
      </w:pPr>
      <w:r>
        <w:t>Removing discretion through mandatory charging policies has produced unintended consequences, including growth of the federal prison population.</w:t>
      </w:r>
    </w:p>
    <w:p>
      <w:pPr>
        <w:pStyle w:val="Heading2"/>
        <w:spacing w:after="120" w:before="240"/>
      </w:pPr>
      <w:r>
        <w:rPr>
          <w:b/>
          <w:bCs/>
        </w:rPr>
        <w:t>Trial Publicity</w:t>
      </w:r>
    </w:p>
    <w:p>
      <w:pPr>
        <w:pStyle w:val="ListParagraph"/>
        <w:numPr>
          <w:ilvl w:val="0"/>
          <w:numId w:val="1"/>
        </w:numPr>
        <w:spacing w:after="80"/>
      </w:pPr>
      <w:r>
        <w:t>Rule 3.6 prohibits extrajudicial statements a lawyer knows or reasonably should know will be disseminated publicly and will have a substantial likelihood of materially prejudicing an adjudicative proceeding; Rule 3.8(f) adds that prosecutors must refrain from statements that heighten public condemnation of the accused, except those serving a legitimate law enforcement purpose.</w:t>
      </w:r>
    </w:p>
    <w:p>
      <w:pPr>
        <w:pStyle w:val="ListParagraph"/>
        <w:numPr>
          <w:ilvl w:val="0"/>
          <w:numId w:val="1"/>
        </w:numPr>
        <w:spacing w:after="80"/>
      </w:pPr>
      <w:r>
        <w:t>In United States v. Silver, the district court found that U.S. Attorney Preet Bharara's public remarks strayed close to the line but declined to dismiss the indictment (S.D.N.Y. 2015). Sanctions for violations of Rule 3.6 remain rare.</w:t>
      </w:r>
    </w:p>
    <w:p>
      <w:pPr>
        <w:pStyle w:val="ListParagraph"/>
        <w:numPr>
          <w:ilvl w:val="0"/>
          <w:numId w:val="1"/>
        </w:numPr>
        <w:spacing w:after="80"/>
      </w:pPr>
      <w:r>
        <w:t>Indictments and press conferences are themselves public statements; prosecutors should draft charging documents with Rule 3.8(f) in mind.</w:t>
      </w:r>
    </w:p>
    <w:p>
      <w:pPr>
        <w:pStyle w:val="Heading2"/>
        <w:spacing w:after="120" w:before="240"/>
      </w:pPr>
      <w:r>
        <w:rPr>
          <w:b/>
          <w:bCs/>
        </w:rPr>
        <w:t>Post-Conviction Duties and Accountability</w:t>
      </w:r>
    </w:p>
    <w:p>
      <w:pPr>
        <w:pStyle w:val="ListParagraph"/>
        <w:numPr>
          <w:ilvl w:val="0"/>
          <w:numId w:val="1"/>
        </w:numPr>
        <w:spacing w:after="80"/>
      </w:pPr>
      <w:r>
        <w:t>ABA Model Rule 3.8(g) and (h) (2008) require a prosecutor who learns of new, credible, and material evidence creating a reasonable likelihood that a convicted defendant did not commit the offense to disclose it and, within the prosecutor's jurisdiction, to investigate; clear and convincing evidence of innocence requires seeking to remedy the conviction. New York and many other states have adopted these provisions.</w:t>
      </w:r>
    </w:p>
    <w:p>
      <w:pPr>
        <w:pStyle w:val="ListParagraph"/>
        <w:numPr>
          <w:ilvl w:val="0"/>
          <w:numId w:val="1"/>
        </w:numPr>
        <w:spacing w:after="80"/>
      </w:pPr>
      <w:r>
        <w:t>Accountability mechanisms include professional discipline, judicial sanctions and dismissals, internal office review, and elections. Discipline for abuse of charging discretion remains uncommon.</w:t>
      </w:r>
    </w:p>
    <w:p>
      <w:pPr>
        <w:pStyle w:val="Heading2"/>
        <w:spacing w:after="120" w:before="240"/>
      </w:pPr>
      <w:r>
        <w:rPr>
          <w:b/>
          <w:bCs/>
        </w:rPr>
        <w:t>Developments to Know</w:t>
      </w:r>
    </w:p>
    <w:p>
      <w:pPr>
        <w:pStyle w:val="ListParagraph"/>
        <w:numPr>
          <w:ilvl w:val="0"/>
          <w:numId w:val="1"/>
        </w:numPr>
        <w:spacing w:after="80"/>
      </w:pPr>
      <w:r>
        <w:t>Independence of prosecutors: in 2025 the Justice Department moved to dismiss the corruption indictment of New York City Mayor Eric Adams, prompting the resignation of the acting U.S. Attorney for the Southern District of New York and other officials; the court dismissed the case with prejudice in April 2025, finding that the circumstances "smack[ed] of a bargain."</w:t>
      </w:r>
    </w:p>
    <w:p>
      <w:pPr>
        <w:pStyle w:val="ListParagraph"/>
        <w:numPr>
          <w:ilvl w:val="0"/>
          <w:numId w:val="1"/>
        </w:numPr>
        <w:spacing w:after="80"/>
      </w:pPr>
      <w:r>
        <w:t>Appointment of interim U.S. Attorneys: in November 2025 a federal court dismissed the indictments of former FBI Director James Comey and New York Attorney General Letitia James on the ground that the interim U.S. Attorney who obtained them was unlawfully appointed; the government's appeal was argued in the Fourth Circuit in September 2026. The Third Circuit held in December 2025 that New Jersey's interim U.S. Attorney was serving unlawfully.</w:t>
      </w:r>
    </w:p>
    <w:p>
      <w:pPr>
        <w:pStyle w:val="ListParagraph"/>
        <w:numPr>
          <w:ilvl w:val="0"/>
          <w:numId w:val="1"/>
        </w:numPr>
        <w:spacing w:after="80"/>
      </w:pPr>
      <w:r>
        <w:t>Disqualification and discipline: Georgia courts removed Fulton County District Attorney Fani Willis from the election-interference case for an appearance of impropriety (2024–25), after which the case was dismissed; the District of Columbia's disciplinary system has recommended disbarment of former Justice Department official Jeffrey Clark and brought charges against a former interim U.S. Attorney.</w:t>
      </w:r>
    </w:p>
    <w:p>
      <w:pPr>
        <w:pStyle w:val="ListParagraph"/>
        <w:numPr>
          <w:ilvl w:val="0"/>
          <w:numId w:val="1"/>
        </w:numPr>
        <w:spacing w:after="80"/>
      </w:pPr>
      <w:r>
        <w:t>Case updates: Sheldon Silver was reconvicted in 2018 and died in federal custody in 2022; Justice Department charging policy was revised again in 2025.</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2026-09-28T18:13:13.289Z</dcterms:created>
  <dcterms:modified xsi:type="dcterms:W3CDTF">2026-09-28T18:13:13.289Z</dcterms:modified>
</cp:coreProperties>
</file>

<file path=docProps/custom.xml><?xml version="1.0" encoding="utf-8"?>
<Properties xmlns="http://schemas.openxmlformats.org/officeDocument/2006/custom-properties" xmlns:vt="http://schemas.openxmlformats.org/officeDocument/2006/docPropsVTypes"/>
</file>