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Continuing Legal Education Written Materials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rtl w:val="0"/>
        </w:rPr>
        <w:t xml:space="preserve">Out of Bounds – Negotiations Ethics</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Based on a TalksOnLaw interview with Prof. Carrie Menkel‑Meadow on the ethical limits of legal negotiation.</w:t>
      </w:r>
    </w:p>
    <w:p w:rsidR="00000000" w:rsidDel="00000000" w:rsidP="00000000" w:rsidRDefault="00000000" w:rsidRPr="00000000" w14:paraId="00000004">
      <w:pPr>
        <w:pStyle w:val="Heading1"/>
        <w:rPr/>
      </w:pPr>
      <w:r w:rsidDel="00000000" w:rsidR="00000000" w:rsidRPr="00000000">
        <w:rPr>
          <w:rtl w:val="0"/>
        </w:rPr>
        <w:t xml:space="preserve">1. Orientation: Why Negotiation Ethics Is Hard (and Why It Matters)</w:t>
      </w:r>
    </w:p>
    <w:p w:rsidR="00000000" w:rsidDel="00000000" w:rsidP="00000000" w:rsidRDefault="00000000" w:rsidRPr="00000000" w14:paraId="00000005">
      <w:pPr>
        <w:rPr/>
      </w:pPr>
      <w:r w:rsidDel="00000000" w:rsidR="00000000" w:rsidRPr="00000000">
        <w:rPr>
          <w:rtl w:val="0"/>
        </w:rPr>
        <w:t xml:space="preserve">Legal negotiations sit at the intersection of two professional demands: diligent advocacy for a client and the lawyer’s duties of honesty, fair dealing, and compliance with professional conduct rules. Negotiation is not ‘ethics‑free’—but it is also not a domain where every strategic move is treated as a misrepresentation. The core challenge is drawing workable lines between permissible strategy (including puffing/bluffing) and prohibited deception about material facts or law.</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The relevant question is rarely “Is this tactic effective?” It is “Is it permitted under my jurisdiction’s professional rules and substantive fraud/misrepresentation law, given the facts?”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When the rules are ambiguous, firm culture and professional reputation become practical constraints. Reputation can influence counterpart trust, verification costs, and repeat‑player outcomes.</w:t>
      </w: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1.1 Learning Objectives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the key ethics rules that shape negotiations: diligence and client communication, truthfulness to others, misconduct, and (where relevant) candor to tribunals.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Distinguish permissible ‘negotiation convention’ statements (puffing, value opinions, settlement intentions) from false statements of material fact or law.</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how omissions can become misrepresentations (partial truths, misleading silence) and when disclosure may be required to avoid assisting client fraud.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Spot high‑risk tactics: threats (criminal/disciplinary/administrative), bullying/intimidation, and exploiting mistakes.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checklists to plan ethical negotiations, document authority/consent, and preserve issues when disputes arise.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rPr/>
      </w:pPr>
      <w:r w:rsidDel="00000000" w:rsidR="00000000" w:rsidRPr="00000000">
        <w:rPr>
          <w:rtl w:val="0"/>
        </w:rPr>
        <w:t xml:space="preserve">2. Governing Framework: What Sources Control Negotiation Conduct?</w:t>
      </w:r>
    </w:p>
    <w:p w:rsidR="00000000" w:rsidDel="00000000" w:rsidP="00000000" w:rsidRDefault="00000000" w:rsidRPr="00000000" w14:paraId="00000010">
      <w:pPr>
        <w:rPr/>
      </w:pPr>
      <w:r w:rsidDel="00000000" w:rsidR="00000000" w:rsidRPr="00000000">
        <w:rPr>
          <w:rtl w:val="0"/>
        </w:rPr>
        <w:t xml:space="preserve">The interview uses the ABA Model Rules as the organizing framework, while recognizing that states can (and do) modify or supplement those rules. Negotiation conduct is also constrained by substantive law—fraud, misrepresentation, contract doctrines, and (sometimes) statutory disclosure regimes.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Professional conduct rules (Model Rules and state analogs) govern lawyer conduct and may be enforced through discipline.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Substantive law (fraud/misrepresentation, contract/tort statutes) can impose liability independent of discipline.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Negotiation ‘conventions’ matter because some statements are treated as opinions or bargaining positions rather than factual representations (e.g., value statements, settlement intentions).</w:t>
      </w:r>
      <w:r w:rsidDel="00000000" w:rsidR="00000000" w:rsidRPr="00000000">
        <w:rPr>
          <w:rtl w:val="0"/>
        </w:rPr>
      </w:r>
    </w:p>
    <w:p w:rsidR="00000000" w:rsidDel="00000000" w:rsidP="00000000" w:rsidRDefault="00000000" w:rsidRPr="00000000" w14:paraId="00000014">
      <w:pPr>
        <w:pStyle w:val="Heading2"/>
        <w:rPr/>
      </w:pPr>
      <w:r w:rsidDel="00000000" w:rsidR="00000000" w:rsidRPr="00000000">
        <w:rPr>
          <w:rtl w:val="0"/>
        </w:rPr>
        <w:t xml:space="preserve">2.1 Quick map of rules that come up most often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Rule 1.3 (Diligence) and Comment 1 (zeal within limits).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Rules 1.2(a) and 1.4(a) (scope of representation; consultation and communication with client).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Rule 4.1 (Truthfulness in Statements to Others) and its comments (material fact; negotiation conventions; misleading omissions).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Rule 8.4(c) (misconduct: dishonesty, fraud, deceit, misrepresentation).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Rule 3.3 (Candor to the Tribunal) when negotiations are tied to court filings or hearings (e.g., settlement on the record; consent decrees).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1"/>
        <w:rPr/>
      </w:pPr>
      <w:r w:rsidDel="00000000" w:rsidR="00000000" w:rsidRPr="00000000">
        <w:rPr>
          <w:rtl w:val="0"/>
        </w:rPr>
        <w:t xml:space="preserve">3. Zealous Advocacy Has Ethical Boundaries</w:t>
      </w:r>
    </w:p>
    <w:p w:rsidR="00000000" w:rsidDel="00000000" w:rsidP="00000000" w:rsidRDefault="00000000" w:rsidRPr="00000000" w14:paraId="0000001C">
      <w:pPr>
        <w:rPr/>
      </w:pPr>
      <w:r w:rsidDel="00000000" w:rsidR="00000000" w:rsidRPr="00000000">
        <w:rPr>
          <w:rtl w:val="0"/>
        </w:rPr>
        <w:t xml:space="preserve">Diligence and zealous advocacy are real professional duties, but the interview stresses that ‘zeal’ is not a license to deceive. The rules are designed to allow effective bargaining while prohibiting materially false statements and certain coercive tactics.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Rule 1.3 (diligence): A lawyer must act with reasonable diligence and promptness; Comment 1 emphasizes zeal but notes a lawyer is not bound to press for every advantage that might be realized for a client.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Rules 1.2(a) and 1.4(a): Negotiation decisions often require clarifying objectives, authority, and the ‘means’ of representation through reasonable consultation with the client.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Ethical risk often rises when a client pushes for ‘hardball’ tactics. Translate those instructions into permissible actions and document advice when a requested tactic is impermissible.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1"/>
        <w:rPr/>
      </w:pPr>
      <w:r w:rsidDel="00000000" w:rsidR="00000000" w:rsidRPr="00000000">
        <w:rPr>
          <w:rtl w:val="0"/>
        </w:rPr>
        <w:t xml:space="preserve">4. Truthfulness in Negotiations: The Core Line-Drawing Problem</w:t>
      </w:r>
    </w:p>
    <w:p w:rsidR="00000000" w:rsidDel="00000000" w:rsidP="00000000" w:rsidRDefault="00000000" w:rsidRPr="00000000" w14:paraId="00000022">
      <w:pPr>
        <w:rPr/>
      </w:pPr>
      <w:r w:rsidDel="00000000" w:rsidR="00000000" w:rsidRPr="00000000">
        <w:rPr>
          <w:rtl w:val="0"/>
        </w:rPr>
        <w:t xml:space="preserve">Model Rule 4.1 provides the black‑letter baseline: a lawyer may not knowingly make a false statement of material fact or law to a third person. The interview’s focus is how to apply that rule in the real world—where bargaining includes optimism, framing, and sometimes strategic ambiguity.</w:t>
      </w:r>
    </w:p>
    <w:p w:rsidR="00000000" w:rsidDel="00000000" w:rsidP="00000000" w:rsidRDefault="00000000" w:rsidRPr="00000000" w14:paraId="00000023">
      <w:pPr>
        <w:pStyle w:val="Heading2"/>
        <w:rPr/>
      </w:pPr>
      <w:r w:rsidDel="00000000" w:rsidR="00000000" w:rsidRPr="00000000">
        <w:rPr>
          <w:rtl w:val="0"/>
        </w:rPr>
        <w:t xml:space="preserve">4.1 Material fact vs. bargaining ‘convention’ (puffing, bluffing, and value statements)</w:t>
      </w:r>
    </w:p>
    <w:p w:rsidR="00000000" w:rsidDel="00000000" w:rsidP="00000000" w:rsidRDefault="00000000" w:rsidRPr="00000000" w14:paraId="00000024">
      <w:pPr>
        <w:rPr/>
      </w:pPr>
      <w:r w:rsidDel="00000000" w:rsidR="00000000" w:rsidRPr="00000000">
        <w:rPr>
          <w:rtl w:val="0"/>
        </w:rPr>
        <w:t xml:space="preserve">Rule 4.1’s comments recognize that some statements are understood as opinions or negotiating positions rather than factual representations. Frequently cited examples include statements about price/value and a party’s intentions as to an acceptable settlement. The ethical risk increases as statements become more concrete, verifiable, and likely to affect decisionmaking.</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Often lower-risk (depending on jurisdiction): opinions about value, predictions, estimates, and settlement posture, when not used to commit fraud.</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Higher-risk: false statements about objectively verifiable facts (documents, events, numbers, authority) that a reasonable person would treat as important to deciding whether to settle.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If the statement can be checked against a document or simple factual record, treat it as potentially ‘material’ and avoid casual exaggeration.</w:t>
      </w:r>
      <w:r w:rsidDel="00000000" w:rsidR="00000000" w:rsidRPr="00000000">
        <w:rPr>
          <w:rtl w:val="0"/>
        </w:rPr>
      </w:r>
    </w:p>
    <w:p w:rsidR="00000000" w:rsidDel="00000000" w:rsidP="00000000" w:rsidRDefault="00000000" w:rsidRPr="00000000" w14:paraId="00000028">
      <w:pPr>
        <w:pStyle w:val="Heading2"/>
        <w:rPr/>
      </w:pPr>
      <w:r w:rsidDel="00000000" w:rsidR="00000000" w:rsidRPr="00000000">
        <w:rPr>
          <w:rtl w:val="0"/>
        </w:rPr>
        <w:t xml:space="preserve">4.2 Misleading half‑truths and omission-as-misrepresentation</w:t>
      </w:r>
    </w:p>
    <w:p w:rsidR="00000000" w:rsidDel="00000000" w:rsidP="00000000" w:rsidRDefault="00000000" w:rsidRPr="00000000" w14:paraId="00000029">
      <w:pPr>
        <w:rPr/>
      </w:pPr>
      <w:r w:rsidDel="00000000" w:rsidR="00000000" w:rsidRPr="00000000">
        <w:rPr>
          <w:rtl w:val="0"/>
        </w:rPr>
        <w:t xml:space="preserve">The interview emphasizes that misrepresentation can occur without an outright lie. A partially true statement can be misleading, and silence can function like an affirmative false statement if it is intended to mislead or if the lawyer has created the misimpression.</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lawyer generally has no affirmative duty to volunteer relevant facts, but cannot affirm or incorporate known falsehoods.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Omissions can be misrepresentations when they are the functional equivalent of an affirmative lie (e.g., leaving out the key limiting fact).</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Rule 4.1(b): A lawyer may not fail to disclose a material fact when disclosure is necessary to avoid assisting a client’s criminal or fraudulent act (subject to confidentiality limits).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1"/>
        <w:rPr/>
      </w:pPr>
      <w:r w:rsidDel="00000000" w:rsidR="00000000" w:rsidRPr="00000000">
        <w:rPr>
          <w:rtl w:val="0"/>
        </w:rPr>
        <w:t xml:space="preserve">5. Correcting Mistakes and Misunderstandings: Ethics + Contract Law</w:t>
      </w:r>
    </w:p>
    <w:p w:rsidR="00000000" w:rsidDel="00000000" w:rsidP="00000000" w:rsidRDefault="00000000" w:rsidRPr="00000000" w14:paraId="0000002F">
      <w:pPr>
        <w:rPr/>
      </w:pPr>
      <w:r w:rsidDel="00000000" w:rsidR="00000000" w:rsidRPr="00000000">
        <w:rPr>
          <w:rtl w:val="0"/>
        </w:rPr>
        <w:t xml:space="preserve">The interview draws a line between negotiations and tribunals. Lawyers have special candor obligations to courts (Rule 3.3). In negotiations, the duty is framed more narrowly (Rule 4.1), but exploiting certain mistakes can still create legal and reputational consequences.</w:t>
      </w:r>
    </w:p>
    <w:p w:rsidR="00000000" w:rsidDel="00000000" w:rsidP="00000000" w:rsidRDefault="00000000" w:rsidRPr="00000000" w14:paraId="00000030">
      <w:pPr>
        <w:pStyle w:val="Heading2"/>
        <w:rPr/>
      </w:pPr>
      <w:r w:rsidDel="00000000" w:rsidR="00000000" w:rsidRPr="00000000">
        <w:rPr>
          <w:rtl w:val="0"/>
        </w:rPr>
        <w:t xml:space="preserve">5.1 Stare v. Tate (Cal. Ct. App. 1971) — arithmetic error</w:t>
      </w:r>
    </w:p>
    <w:p w:rsidR="00000000" w:rsidDel="00000000" w:rsidP="00000000" w:rsidRDefault="00000000" w:rsidRPr="00000000" w14:paraId="00000031">
      <w:pPr>
        <w:rPr/>
      </w:pPr>
      <w:r w:rsidDel="00000000" w:rsidR="00000000" w:rsidRPr="00000000">
        <w:rPr>
          <w:rtl w:val="0"/>
        </w:rPr>
        <w:t xml:space="preserve">The sample materials include Stare v. Tate as a classic illustration: one lawyer noticed an opposing lawyer’s math error in a settlement proposal and did not correct it; after signing, the error was discovered and litigation followed. The court reformed the agreement. The case is often used to discuss when silence becomes unfair exploitation.</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Teaching point: Even if a tactic is not clearly prohibited by the Model Rules, it can backfire through contract doctrines, reputational harm, or judicial intervention.</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When you discover an opponent’s mistake, ask: is this a factual error vs bargaining position? </w:t>
      </w:r>
      <w:r w:rsidDel="00000000" w:rsidR="00000000" w:rsidRPr="00000000">
        <w:rPr>
          <w:rtl w:val="0"/>
        </w:rPr>
        <w:t xml:space="preserve">Did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you contribute to the misimpression? </w:t>
      </w:r>
      <w:r w:rsidDel="00000000" w:rsidR="00000000" w:rsidRPr="00000000">
        <w:rPr>
          <w:rtl w:val="0"/>
        </w:rPr>
        <w:t xml:space="preserve">Is court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approval involved? </w:t>
      </w:r>
      <w:r w:rsidDel="00000000" w:rsidR="00000000" w:rsidRPr="00000000">
        <w:rPr>
          <w:rtl w:val="0"/>
        </w:rPr>
        <w:t xml:space="preserve">What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happens if the deal is later challenged?</w:t>
      </w:r>
      <w:r w:rsidDel="00000000" w:rsidR="00000000" w:rsidRPr="00000000">
        <w:rPr>
          <w:rtl w:val="0"/>
        </w:rPr>
      </w:r>
    </w:p>
    <w:p w:rsidR="00000000" w:rsidDel="00000000" w:rsidP="00000000" w:rsidRDefault="00000000" w:rsidRPr="00000000" w14:paraId="00000034">
      <w:pPr>
        <w:pStyle w:val="Heading2"/>
        <w:rPr/>
      </w:pPr>
      <w:r w:rsidDel="00000000" w:rsidR="00000000" w:rsidRPr="00000000">
        <w:rPr>
          <w:rtl w:val="0"/>
        </w:rPr>
        <w:t xml:space="preserve">5.2 “Plant a truth landmine” and related tactics</w:t>
      </w:r>
    </w:p>
    <w:p w:rsidR="00000000" w:rsidDel="00000000" w:rsidP="00000000" w:rsidRDefault="00000000" w:rsidRPr="00000000" w14:paraId="00000035">
      <w:pPr>
        <w:rPr/>
      </w:pPr>
      <w:r w:rsidDel="00000000" w:rsidR="00000000" w:rsidRPr="00000000">
        <w:rPr>
          <w:rtl w:val="0"/>
        </w:rPr>
        <w:t xml:space="preserve">The sample materials describe ‘plant a truth landmine’ as asking a question you already know the answer to, hoping the other side states something false. Tactics designed to manufacture traps can raise ethical and practical concerns and can damage trust and repeat‑player relationships.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If the goal is to manufacture a false record, evaluate risk under Rules 4.1 and 8.4(c), and consider substantive fraud rules and discovery obligations if litigation is pending or foreseeable.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1"/>
        <w:rPr/>
      </w:pPr>
      <w:r w:rsidDel="00000000" w:rsidR="00000000" w:rsidRPr="00000000">
        <w:rPr>
          <w:rtl w:val="0"/>
        </w:rPr>
        <w:t xml:space="preserve">6. Negotiation Tactics: What Is ‘Allowed’ vs. What Is ‘Smart’?</w:t>
      </w:r>
    </w:p>
    <w:p w:rsidR="00000000" w:rsidDel="00000000" w:rsidP="00000000" w:rsidRDefault="00000000" w:rsidRPr="00000000" w14:paraId="00000039">
      <w:pPr>
        <w:rPr/>
      </w:pPr>
      <w:r w:rsidDel="00000000" w:rsidR="00000000" w:rsidRPr="00000000">
        <w:rPr>
          <w:rtl w:val="0"/>
        </w:rPr>
        <w:t xml:space="preserve">The interview distinguishes between tactics that are expressly prohibited by ethics rules (e.g., certain threats) and tactics that are not prohibited but may still be counterproductive. Aggressive behavior can sometimes be effective in one‑shot interactions but can reduce value in repeated negotiations where credibility matters.</w:t>
      </w:r>
    </w:p>
    <w:p w:rsidR="00000000" w:rsidDel="00000000" w:rsidP="00000000" w:rsidRDefault="00000000" w:rsidRPr="00000000" w14:paraId="0000003A">
      <w:pPr>
        <w:pStyle w:val="Heading2"/>
        <w:rPr/>
      </w:pPr>
      <w:r w:rsidDel="00000000" w:rsidR="00000000" w:rsidRPr="00000000">
        <w:rPr>
          <w:rtl w:val="0"/>
        </w:rPr>
        <w:t xml:space="preserve">6.1 Bullying, intimidation, and over-aggression</w:t>
      </w:r>
    </w:p>
    <w:p w:rsidR="00000000" w:rsidDel="00000000" w:rsidP="00000000" w:rsidRDefault="00000000" w:rsidRPr="00000000" w14:paraId="0000003B">
      <w:pPr>
        <w:rPr/>
      </w:pPr>
      <w:r w:rsidDel="00000000" w:rsidR="00000000" w:rsidRPr="00000000">
        <w:rPr>
          <w:rtl w:val="0"/>
        </w:rPr>
        <w:t xml:space="preserve">The sample materials describe ‘bullying’ as intimidation or over‑aggression intended to force agreement. These tactics are not always explicitly prohibited by a single rule, but they can create risk: escalation, impasse, reputational damage, and (in some contexts) claims of duress or unfair dealing.</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Ethics risk varies: while bullying is not always a stand‑alone disciplinary violation, it may intersect with misconduct rules and professional civility expectations.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Evidence note: The sample materials cite experimental evidence that aggressive communication can reduce cooperation and lower payoffs in some settings (Huang &amp; Low, 2017).</w:t>
      </w:r>
      <w:r w:rsidDel="00000000" w:rsidR="00000000" w:rsidRPr="00000000">
        <w:rPr>
          <w:rtl w:val="0"/>
        </w:rPr>
      </w:r>
    </w:p>
    <w:p w:rsidR="00000000" w:rsidDel="00000000" w:rsidP="00000000" w:rsidRDefault="00000000" w:rsidRPr="00000000" w14:paraId="0000003E">
      <w:pPr>
        <w:pStyle w:val="Heading2"/>
        <w:rPr/>
      </w:pPr>
      <w:r w:rsidDel="00000000" w:rsidR="00000000" w:rsidRPr="00000000">
        <w:rPr>
          <w:rtl w:val="0"/>
        </w:rPr>
        <w:t xml:space="preserve">6.2 Deflection and strategic ambiguity</w:t>
      </w:r>
    </w:p>
    <w:p w:rsidR="00000000" w:rsidDel="00000000" w:rsidP="00000000" w:rsidRDefault="00000000" w:rsidRPr="00000000" w14:paraId="0000003F">
      <w:pPr>
        <w:rPr/>
      </w:pPr>
      <w:r w:rsidDel="00000000" w:rsidR="00000000" w:rsidRPr="00000000">
        <w:rPr>
          <w:rtl w:val="0"/>
        </w:rPr>
        <w:t xml:space="preserve">Deflection—answering without giving a direct factual representation—is common. The ethical risk depends on whether the deflection creates a misleading impression.</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Safer deflection: reframing, answering at a higher level of generality, or stating you cannot speak to a specific fact.</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Riskier deflection: statements that imply a factual predicate you know to be false or that rely on the other side’s mistaken assumption you helped create.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pPr>
      <w:r w:rsidDel="00000000" w:rsidR="00000000" w:rsidRPr="00000000">
        <w:rPr>
          <w:rtl w:val="0"/>
        </w:rPr>
        <w:t xml:space="preserve">7. Threats in Negotiation: Criminal, Disciplinary, and Administrative Threats</w:t>
      </w:r>
    </w:p>
    <w:p w:rsidR="00000000" w:rsidDel="00000000" w:rsidP="00000000" w:rsidRDefault="00000000" w:rsidRPr="00000000" w14:paraId="00000044">
      <w:pPr>
        <w:rPr/>
      </w:pPr>
      <w:r w:rsidDel="00000000" w:rsidR="00000000" w:rsidRPr="00000000">
        <w:rPr>
          <w:rtl w:val="0"/>
        </w:rPr>
        <w:t xml:space="preserve">Threats are a ‘bright‑line’ area in many jurisdictions. Several states prohibit threatening criminal or disciplinary charges solely to gain an advantage in a civil matter. Because state rules vary, lawyers must check local text before using any ‘reporting’ language as leverage.</w:t>
      </w:r>
    </w:p>
    <w:p w:rsidR="00000000" w:rsidDel="00000000" w:rsidP="00000000" w:rsidRDefault="00000000" w:rsidRPr="00000000" w14:paraId="00000045">
      <w:pPr>
        <w:pStyle w:val="Heading2"/>
        <w:rPr/>
      </w:pPr>
      <w:r w:rsidDel="00000000" w:rsidR="00000000" w:rsidRPr="00000000">
        <w:rPr>
          <w:rtl w:val="0"/>
        </w:rPr>
        <w:t xml:space="preserve">7.1 State examples from the sample materials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D.C. Rule 8.4(g): prohibits seeking or threatening criminal or disciplinary charges solely to obtain an advantage in a civil matter.</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California Rule 3.10(a): prohibits threatening to present criminal, administrative, or disciplinary charges to obtain an advantage in a civil dispute.</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Illinois Rule 8.4(g): prohibits presenting or threatening criminal or disciplinary charges to obtain an advantage in a civil matter.</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New York Rule 3.4(e): prohibits threatening criminal charges solely to obtain an advantage in a civil matter (and New York authorities debate application to disciplinary threats).</w:t>
      </w:r>
    </w:p>
    <w:p w:rsidR="00000000" w:rsidDel="00000000" w:rsidP="00000000" w:rsidRDefault="00000000" w:rsidRPr="00000000" w14:paraId="0000004A">
      <w:pPr>
        <w:pStyle w:val="Heading2"/>
        <w:rPr/>
      </w:pPr>
      <w:r w:rsidDel="00000000" w:rsidR="00000000" w:rsidRPr="00000000">
        <w:rPr>
          <w:rtl w:val="0"/>
        </w:rPr>
        <w:t xml:space="preserve">7.2 Practical framework: when a ‘threat’ becomes an ethics problem</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the nature of the threatened action (criminal, disciplinary, administrative).</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Ask what purpose the statement serves: legitimate notice/reporting vs leverage to extract civil advantage.</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Check local rule language (some use “solely,” some cover disciplinary threats explicitly).</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 compliant alternatives (e.g., ‘we will pursue all appropriate remedies’ without linking to settlement leverage).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Document your good‑faith basis if you must communicate about potential reporting obligations.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8. Fairness, Civility, and Collaborative Lawyering</w:t>
      </w:r>
    </w:p>
    <w:p w:rsidR="00000000" w:rsidDel="00000000" w:rsidP="00000000" w:rsidRDefault="00000000" w:rsidRPr="00000000" w14:paraId="00000052">
      <w:pPr>
        <w:rPr/>
      </w:pPr>
      <w:r w:rsidDel="00000000" w:rsidR="00000000" w:rsidRPr="00000000">
        <w:rPr>
          <w:rtl w:val="0"/>
        </w:rPr>
        <w:t xml:space="preserve">The interview invites a broader question: should fairness be a consideration in negotiation, and how do ethics rules interact with collaborative bargaining styles? Collaborative lawyering (originating in divorce practice) is a useful illustration of how ethical analysis can turn on conflicts of interest and limited‑scope representation.</w:t>
      </w:r>
    </w:p>
    <w:p w:rsidR="00000000" w:rsidDel="00000000" w:rsidP="00000000" w:rsidRDefault="00000000" w:rsidRPr="00000000" w14:paraId="00000053">
      <w:pPr>
        <w:pStyle w:val="Heading2"/>
        <w:rPr/>
      </w:pPr>
      <w:r w:rsidDel="00000000" w:rsidR="00000000" w:rsidRPr="00000000">
        <w:rPr>
          <w:rtl w:val="0"/>
        </w:rPr>
        <w:t xml:space="preserve">8.1 Colorado Opinion 115 vs. ABA Formal Opinion 07‑447</w:t>
      </w:r>
    </w:p>
    <w:p w:rsidR="00000000" w:rsidDel="00000000" w:rsidP="00000000" w:rsidRDefault="00000000" w:rsidRPr="00000000" w14:paraId="00000054">
      <w:pPr>
        <w:rPr/>
      </w:pPr>
      <w:r w:rsidDel="00000000" w:rsidR="00000000" w:rsidRPr="00000000">
        <w:rPr>
          <w:rtl w:val="0"/>
        </w:rPr>
        <w:t xml:space="preserve">Colorado Ethics Opinion 115 (2007) raised conflict concerns because collaborative agreements required lawyers to withdraw if the process failed. ABA Formal Opinion 07‑447 (2007) approved collaborative practice as a permissible limited‑scope representation with informed client consent.</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Colorado Bar Ass’n Ethics Opinion 115 (2007): concluded some collaborative law participation violated Colorado’s conflict rules because withdrawal commitments created a nonwaivable conflict (as characterized in the sample).</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ABA Formal Op. 07‑447 (Aug. 9, 2007): concluded collaborative law can be consistent with the Model Rules if the lawyer advises the client and obtains informed consent.</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Up‑to‑date note: Colorado’s bar has withdrawn Opinion 115 (Dec. 13, 2025) after Colorado adopted the Uniform Collaborative Law Act; consult current state guidance.</w:t>
      </w:r>
    </w:p>
    <w:p w:rsidR="00000000" w:rsidDel="00000000" w:rsidP="00000000" w:rsidRDefault="00000000" w:rsidRPr="00000000" w14:paraId="00000058">
      <w:pPr>
        <w:pStyle w:val="Heading2"/>
        <w:rPr/>
      </w:pPr>
      <w:r w:rsidDel="00000000" w:rsidR="00000000" w:rsidRPr="00000000">
        <w:rPr>
          <w:rtl w:val="0"/>
        </w:rPr>
        <w:t xml:space="preserve">8.2 Reputation and long-term client value</w:t>
      </w:r>
    </w:p>
    <w:p w:rsidR="00000000" w:rsidDel="00000000" w:rsidP="00000000" w:rsidRDefault="00000000" w:rsidRPr="00000000" w14:paraId="00000059">
      <w:pPr>
        <w:rPr/>
      </w:pPr>
      <w:r w:rsidDel="00000000" w:rsidR="00000000" w:rsidRPr="00000000">
        <w:rPr>
          <w:rtl w:val="0"/>
        </w:rPr>
        <w:t xml:space="preserve">A theme in the interview summary is that reputation affects bargaining power. A lawyer known for sharp practice may win short‑term concessions but can lose credibility and information access in repeat settings. A lawyer known for honesty and efficient problem‑solving may secure better outcomes over time because counterparts trust the process and representations.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Reputation influences counterpart willingness to share information, make concessions, and close deals without excessive verification costs.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1"/>
        <w:rPr/>
      </w:pPr>
      <w:r w:rsidDel="00000000" w:rsidR="00000000" w:rsidRPr="00000000">
        <w:rPr>
          <w:rtl w:val="0"/>
        </w:rPr>
        <w:t xml:space="preserve">9. Practical Checklists and Templates (Designed to Reduce Note‑Taking)</w:t>
      </w:r>
    </w:p>
    <w:p w:rsidR="00000000" w:rsidDel="00000000" w:rsidP="00000000" w:rsidRDefault="00000000" w:rsidRPr="00000000" w14:paraId="0000005D">
      <w:pPr>
        <w:pStyle w:val="Heading2"/>
        <w:rPr/>
      </w:pPr>
      <w:r w:rsidDel="00000000" w:rsidR="00000000" w:rsidRPr="00000000">
        <w:rPr>
          <w:rtl w:val="0"/>
        </w:rPr>
        <w:t xml:space="preserve">9.1 Pre‑negotiation ethics checklist</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Confirm client objectives, settlement authority, and non-negotiables (Rules 1.2(a), 1.4(a)).</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facts you can represent with confidence; isolate facts that are uncertain or still being investigated.</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Decide in advance what topics you will treat as bargaining opinions (value, bottom line) versus factual assertions.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 responses to direct questions you cannot answer without misleading (use neutral deflection rather than half‑truth).</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Flag areas where silence could mislead because you created the impression (Rule 4.1 comments).</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Flag prohibited threat territory in your jurisdiction and prepare compliant language.</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 a short written record of advice to </w:t>
      </w:r>
      <w:r w:rsidDel="00000000" w:rsidR="00000000" w:rsidRPr="00000000">
        <w:rPr>
          <w:rtl w:val="0"/>
        </w:rPr>
        <w:t xml:space="preserve">client(s)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the client(s) requests tactics that risk violating ethics rules.</w:t>
      </w:r>
    </w:p>
    <w:p w:rsidR="00000000" w:rsidDel="00000000" w:rsidP="00000000" w:rsidRDefault="00000000" w:rsidRPr="00000000" w14:paraId="00000065">
      <w:pPr>
        <w:pStyle w:val="Heading2"/>
        <w:rPr/>
      </w:pPr>
      <w:r w:rsidDel="00000000" w:rsidR="00000000" w:rsidRPr="00000000">
        <w:rPr>
          <w:rtl w:val="0"/>
        </w:rPr>
        <w:t xml:space="preserve">9.2 In‑the‑moment decision tree: “Can I say this?”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 statement a fact (verifiable) or an opinion/estimate/posture?</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fact, is it material (would it reasonably affect the other side’s decision)?</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I know it is false (or am I recklessly indifferent)? If yes, do not say it.</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Would this be a misleading half‑truth (true words, false implication)? If yes, reframe or clarify.</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 I failing to disclose a fact necessary to avoid assisting client fraud? If yes, consult Rule 4.1(b) and confidentiality limits.</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a court involved (settlement on the record, consent decree)? If yes, consider Rule 3.3 obligations.</w:t>
      </w:r>
    </w:p>
    <w:p w:rsidR="00000000" w:rsidDel="00000000" w:rsidP="00000000" w:rsidRDefault="00000000" w:rsidRPr="00000000" w14:paraId="0000006C">
      <w:pPr>
        <w:pStyle w:val="Heading2"/>
        <w:rPr/>
      </w:pPr>
      <w:r w:rsidDel="00000000" w:rsidR="00000000" w:rsidRPr="00000000">
        <w:rPr>
          <w:rtl w:val="0"/>
        </w:rPr>
        <w:t xml:space="preserve">9.3 Post‑negotiation checklist</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Memorialize material terms promptly and accurately; correct errors while the record is fresh.</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Confirm the client understands and consents to final terms (Rule 1.4).</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Review whether any prior statement may have created a mistaken material impression; if so, assess whether correction is required.</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settlement documentation avoids ambiguous representations that could be characterized as fraud or misrepresentation later.</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1"/>
        <w:rPr/>
      </w:pPr>
      <w:r w:rsidDel="00000000" w:rsidR="00000000" w:rsidRPr="00000000">
        <w:rPr>
          <w:rtl w:val="0"/>
        </w:rPr>
        <w:t xml:space="preserve">10. Hypotheticals and Discussion Prompts</w:t>
      </w:r>
    </w:p>
    <w:p w:rsidR="00000000" w:rsidDel="00000000" w:rsidP="00000000" w:rsidRDefault="00000000" w:rsidRPr="00000000" w14:paraId="00000073">
      <w:pPr>
        <w:pStyle w:val="Heading2"/>
        <w:rPr/>
      </w:pPr>
      <w:r w:rsidDel="00000000" w:rsidR="00000000" w:rsidRPr="00000000">
        <w:rPr>
          <w:rtl w:val="0"/>
        </w:rPr>
        <w:t xml:space="preserve">10.1 Hypothetical A: The ‘math mistake’ email</w:t>
      </w:r>
    </w:p>
    <w:p w:rsidR="00000000" w:rsidDel="00000000" w:rsidP="00000000" w:rsidRDefault="00000000" w:rsidRPr="00000000" w14:paraId="00000074">
      <w:pPr>
        <w:rPr/>
      </w:pPr>
      <w:r w:rsidDel="00000000" w:rsidR="00000000" w:rsidRPr="00000000">
        <w:rPr>
          <w:rtl w:val="0"/>
        </w:rPr>
        <w:t xml:space="preserve">Opposing counsel emails a settlement spreadsheet with a clear arithmetic error in your client’s favor. You notice it immediately.</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is the ethical and practical risk of staying silent versus correcting?</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it matter whether court approval is required?</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would you advise the client who says ‘take the win’?</w:t>
      </w:r>
    </w:p>
    <w:p w:rsidR="00000000" w:rsidDel="00000000" w:rsidP="00000000" w:rsidRDefault="00000000" w:rsidRPr="00000000" w14:paraId="00000078">
      <w:pPr>
        <w:pStyle w:val="Heading2"/>
        <w:rPr/>
      </w:pPr>
      <w:r w:rsidDel="00000000" w:rsidR="00000000" w:rsidRPr="00000000">
        <w:rPr>
          <w:rtl w:val="0"/>
        </w:rPr>
        <w:t xml:space="preserve">10.2 Hypothetical B: Bluffing about authority</w:t>
      </w:r>
    </w:p>
    <w:p w:rsidR="00000000" w:rsidDel="00000000" w:rsidP="00000000" w:rsidRDefault="00000000" w:rsidRPr="00000000" w14:paraId="00000079">
      <w:pPr>
        <w:rPr/>
      </w:pPr>
      <w:r w:rsidDel="00000000" w:rsidR="00000000" w:rsidRPr="00000000">
        <w:rPr>
          <w:rtl w:val="0"/>
        </w:rPr>
        <w:t xml:space="preserve">During a mediation, a lawyer says, ‘My client will never pay more than $X’ when the client has authorized up to $X+50,000.</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this a material fact or settlement posture under negotiation conventions?</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your jurisdiction treat this as permissible puffing or as misrepresentation?</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is the reputational cost if discovered?</w:t>
      </w:r>
    </w:p>
    <w:p w:rsidR="00000000" w:rsidDel="00000000" w:rsidP="00000000" w:rsidRDefault="00000000" w:rsidRPr="00000000" w14:paraId="0000007D">
      <w:pPr>
        <w:pStyle w:val="Heading2"/>
        <w:rPr/>
      </w:pPr>
      <w:r w:rsidDel="00000000" w:rsidR="00000000" w:rsidRPr="00000000">
        <w:rPr>
          <w:rtl w:val="0"/>
        </w:rPr>
        <w:t xml:space="preserve">10.3 Hypothetical C: Threatening to file a grievance</w:t>
      </w:r>
    </w:p>
    <w:p w:rsidR="00000000" w:rsidDel="00000000" w:rsidP="00000000" w:rsidRDefault="00000000" w:rsidRPr="00000000" w14:paraId="0000007E">
      <w:pPr>
        <w:rPr/>
      </w:pPr>
      <w:r w:rsidDel="00000000" w:rsidR="00000000" w:rsidRPr="00000000">
        <w:rPr>
          <w:rtl w:val="0"/>
        </w:rPr>
        <w:t xml:space="preserve">In a civil dispute, a lawyer says: ‘Settle today or I’ll report you to the disciplinary authorities.’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Which local rule controls (and does it cover disciplinary threats explicitly)?</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would you communicate legitimate concerns about unethical behavior without using it as settlement leverage?</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documentation would you keep?</w:t>
      </w:r>
    </w:p>
    <w:p w:rsidR="00000000" w:rsidDel="00000000" w:rsidP="00000000" w:rsidRDefault="00000000" w:rsidRPr="00000000" w14:paraId="00000082">
      <w:pPr>
        <w:pStyle w:val="Heading2"/>
        <w:rPr/>
      </w:pPr>
      <w:r w:rsidDel="00000000" w:rsidR="00000000" w:rsidRPr="00000000">
        <w:rPr>
          <w:rtl w:val="0"/>
        </w:rPr>
        <w:t xml:space="preserve">10.4 Hypothetical D: The misleading omission</w:t>
      </w:r>
    </w:p>
    <w:p w:rsidR="00000000" w:rsidDel="00000000" w:rsidP="00000000" w:rsidRDefault="00000000" w:rsidRPr="00000000" w14:paraId="00000083">
      <w:pPr>
        <w:rPr/>
      </w:pPr>
      <w:r w:rsidDel="00000000" w:rsidR="00000000" w:rsidRPr="00000000">
        <w:rPr>
          <w:rtl w:val="0"/>
        </w:rPr>
        <w:t xml:space="preserve">You say ‘We have no written agreement’ but you know there is an email exchange that a court could treat as an enforceable contract.</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this a half‑truth designed to mislead?</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would you answer in a way that avoids a false implication?</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is the line between advocacy and deception?</w:t>
      </w:r>
    </w:p>
    <w:p w:rsidR="00000000" w:rsidDel="00000000" w:rsidP="00000000" w:rsidRDefault="00000000" w:rsidRPr="00000000" w14:paraId="00000087">
      <w:pPr>
        <w:pStyle w:val="Heading1"/>
        <w:rPr/>
      </w:pPr>
      <w:r w:rsidDel="00000000" w:rsidR="00000000" w:rsidRPr="00000000">
        <w:rPr>
          <w:rtl w:val="0"/>
        </w:rPr>
        <w:t xml:space="preserve">11. Resources</w:t>
      </w:r>
    </w:p>
    <w:p w:rsidR="00000000" w:rsidDel="00000000" w:rsidP="00000000" w:rsidRDefault="00000000" w:rsidRPr="00000000" w14:paraId="00000088">
      <w:pPr>
        <w:rPr/>
      </w:pPr>
      <w:r w:rsidDel="00000000" w:rsidR="00000000" w:rsidRPr="00000000">
        <w:rPr>
          <w:rtl w:val="0"/>
        </w:rPr>
        <w:t xml:space="preserve">The following sources are trustworthy starting points. Where state rules vary, always confirm current local text.</w:t>
      </w:r>
    </w:p>
    <w:p w:rsidR="00000000" w:rsidDel="00000000" w:rsidP="00000000" w:rsidRDefault="00000000" w:rsidRPr="00000000" w14:paraId="00000089">
      <w:pPr>
        <w:pStyle w:val="Heading2"/>
        <w:rPr/>
      </w:pPr>
      <w:r w:rsidDel="00000000" w:rsidR="00000000" w:rsidRPr="00000000">
        <w:rPr>
          <w:rtl w:val="0"/>
        </w:rPr>
        <w:t xml:space="preserve">11.1 Core rules and opinions</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ABA Model Rules of Professional Conduct (full text): https://www.americanbar.org/groups/professional_responsibility/publications/model_rules_of_professional_conduct/</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Model Rule 4.1 comment (truthfulness; negotiation conventions; misleading omissions): https://www.americanbar.org/groups/professional_responsibility/publications/model_rules_of_professional_conduct/rule_4_1_truthfulness_in_statements_to_others/comment_on_rule_4_1/</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D.C. Rule 8.4(g) (misconduct; threats in civil matters): https://www.dcbar.org/for-lawyers/legal-ethics/rules-of-professional-conduct/maintaining-the-integrity-of-the-profession/misconduct</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Illinois Courts article on ILRPC 8.4(g): https://www.illinoiscourts.gov/News/1110/Crossing-the-line-Threatening-to-bring-disciplinary-or-criminal-charges-to-obtain-an-advantage-in-a-civil-matter/news-detail/</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Illinois Rules of Professional Conduct — Rule 8.4 PDF: https://ilcourtsaudio.blob.core.windows.net/antilles-resources/resources/930b5341-8cf9-4b21-9650-5db4fa645c5a/RULE%208.4.pdf</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California Rule 3.10 (threatening charges) PDF: https://www.calbar.ca.gov/Portals/0/documents/rules/Rule_3.10-Exec_Summary-Redline.pdf</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New York Rules of Professional Conduct (NY Courts PDF) (Rule 3.4(e)): https://www.nycourts.gov/legacypdfs/rules/jointappellate/NY-Rules-Prof-Conduct-1200.pdf</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Colorado Ethics Opinion 115 (PDF) (withdrawn Dec. 13, 2025): https://www.cobar.org/Portals/COBAR/Repository/ethicsOpinions/FormalEthicsOpinion_115.pdf</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Colorado Bar ‘Formal Ethics Opinions’ page noting withdrawal of Opinion 115 (Dec. 13, 2025): https://www.cobar.org/ethicsopinions</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ABA Formal Op. 07‑447 (Collaborative Law Practice) (ABA summary page): https://www.americanbar.org/products/ecd/chapter/220009/</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Huang &amp; Low (2017), “Trumping Norms” (AER DOI page): https://pubs.aeaweb.org/doi/10.1257/aer.p20171016</w:t>
      </w:r>
    </w:p>
    <w:p w:rsidR="00000000" w:rsidDel="00000000" w:rsidP="00000000" w:rsidRDefault="00000000" w:rsidRPr="00000000" w14:paraId="00000095">
      <w:pPr>
        <w:pStyle w:val="Heading2"/>
        <w:rPr/>
      </w:pPr>
      <w:r w:rsidDel="00000000" w:rsidR="00000000" w:rsidRPr="00000000">
        <w:rPr>
          <w:rtl w:val="0"/>
        </w:rPr>
        <w:t xml:space="preserve">11.2 Additional references</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TalksOnLaw episode overview (Out of Bounds – Negotiations Ethics): https://www.talksonlaw.com/talks/out-of-bounds-negotiations-ethics</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TalksOnLaw brief overview: Can lawyers lie in negotiations?: https://www.talksonlaw.com/briefs/can-lawyers-lie-in-negotiations</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TalksOnLaw brief overview: Can lawyers use threats in a negotiation?: https://www.talksonlaw.com/briefs/can-lawyers-threaten-the-other-side-in-a-negotiation</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Mkn9bdzS4j2XB6ihLQQmwCiGwg==">CgMxLjA4AHIhMVJYQ0JmNmJOUTJ2aFIxYjRJaERrVWRQV2pna3dCOTJN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