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Outer Space – Rights &amp; Resources</w:t>
      </w:r>
    </w:p>
    <w:p>
      <w:pPr>
        <w:spacing w:after="200"/>
      </w:pPr>
      <w:r>
        <w:rPr>
          <w:rFonts w:ascii="Montserrat" w:cs="Montserrat" w:eastAsia="Montserrat" w:hAnsi="Montserrat"/>
          <w:b/>
          <w:bCs/>
          <w:color w:val="E87722"/>
          <w:sz w:val="24"/>
          <w:szCs w:val="24"/>
        </w:rPr>
        <w:t xml:space="preserve">Prof. Frans von der Dunk</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international and U.S. law governing outer space: non-appropriation and its application to lunar bases and extracted resources, safety zones, customary international law, national licensing and state liability, space debris, commercial human spaceflight, and limits on military uses of space, with developments through September 2026.</w:t>
      </w:r>
    </w:p>
    <w:p>
      <w:pPr>
        <w:pStyle w:val="Heading2"/>
        <w:spacing w:after="120" w:before="240"/>
      </w:pPr>
      <w:r>
        <w:rPr>
          <w:b/>
          <w:bCs/>
        </w:rPr>
        <w:t xml:space="preserve">Learning Objectives</w:t>
      </w:r>
    </w:p>
    <w:p>
      <w:pPr>
        <w:pStyle w:val="ListParagraph"/>
        <w:numPr>
          <w:ilvl w:val="0"/>
          <w:numId w:val="1"/>
        </w:numPr>
        <w:spacing w:after="80"/>
      </w:pPr>
      <w:r>
        <w:t xml:space="preserve">Explain Article II of the Outer Space Treaty and competing interpretations of its application to extracted space resources.</w:t>
      </w:r>
    </w:p>
    <w:p>
      <w:pPr>
        <w:pStyle w:val="ListParagraph"/>
        <w:numPr>
          <w:ilvl w:val="0"/>
          <w:numId w:val="1"/>
        </w:numPr>
        <w:spacing w:after="80"/>
      </w:pPr>
      <w:r>
        <w:t xml:space="preserve">Describe how states authorize and supervise private space activities under Article VI, and the roles of the U.S. licensing agencies.</w:t>
      </w:r>
    </w:p>
    <w:p>
      <w:pPr>
        <w:pStyle w:val="ListParagraph"/>
        <w:numPr>
          <w:ilvl w:val="0"/>
          <w:numId w:val="1"/>
        </w:numPr>
        <w:spacing w:after="80"/>
      </w:pPr>
      <w:r>
        <w:t xml:space="preserve">Apply the Liability Convention's absolute and fault-based liability rules to launch accidents, collisions, and falling debris.</w:t>
      </w:r>
    </w:p>
    <w:p>
      <w:pPr>
        <w:pStyle w:val="ListParagraph"/>
        <w:numPr>
          <w:ilvl w:val="0"/>
          <w:numId w:val="1"/>
        </w:numPr>
        <w:spacing w:after="80"/>
      </w:pPr>
      <w:r>
        <w:t xml:space="preserve">Assess how nonbinding guidelines, national licensing conditions, and the Artemis Accords may contribute to customary international law.</w:t>
      </w:r>
    </w:p>
    <w:p>
      <w:pPr>
        <w:pStyle w:val="ListParagraph"/>
        <w:numPr>
          <w:ilvl w:val="0"/>
          <w:numId w:val="1"/>
        </w:numPr>
        <w:spacing w:after="80"/>
      </w:pPr>
      <w:r>
        <w:t xml:space="preserve">Identify limits on military activities in space and the federal framework for commercial human spaceflight.</w:t>
      </w:r>
    </w:p>
    <w:p>
      <w:pPr>
        <w:pStyle w:val="Heading2"/>
        <w:spacing w:after="120" w:before="240"/>
      </w:pPr>
      <w:r>
        <w:rPr>
          <w:b/>
          <w:bCs/>
        </w:rPr>
        <w:t xml:space="preserve">The Treaty Framework</w:t>
      </w:r>
    </w:p>
    <w:p>
      <w:pPr>
        <w:pStyle w:val="ListParagraph"/>
        <w:numPr>
          <w:ilvl w:val="0"/>
          <w:numId w:val="1"/>
        </w:numPr>
        <w:spacing w:after="80"/>
      </w:pPr>
      <w:r>
        <w:rPr>
          <w:b/>
          <w:bCs/>
        </w:rPr>
        <w:t xml:space="preserve">Outer Space Treaty (1967)</w:t>
      </w:r>
      <w:r>
        <w:t xml:space="preserve">, 610 U.N.T.S. 205. Key provisions:</w:t>
      </w:r>
      <w:r>
        <w:t xml:space="preserve">li&gt;</w:t>
      </w:r>
      <w:r>
        <w:rPr>
          <w:i/>
          <w:iCs/>
        </w:rPr>
        <w:t xml:space="preserve">Art. II:</w:t>
      </w:r>
      <w:r>
        <w:t xml:space="preserve">outer space, including the Moon and other celestial bodies, "is not subject to national appropriation by claim of sovereignty, by means of use or occupation, or by any other means."</w:t>
      </w:r>
    </w:p>
    <w:p>
      <w:pPr>
        <w:pStyle w:val="ListParagraph"/>
        <w:numPr>
          <w:ilvl w:val="0"/>
          <w:numId w:val="1"/>
        </w:numPr>
        <w:spacing w:after="80"/>
      </w:pPr>
      <w:r>
        <w:rPr>
          <w:i/>
          <w:iCs/>
        </w:rPr>
        <w:t xml:space="preserve">Art. IV:</w:t>
      </w:r>
      <w:r>
        <w:t xml:space="preserve">no nuclear weapons or other weapons of mass destruction in orbit or on celestial bodies, which are to be used "exclusively for peaceful purposes."</w:t>
      </w:r>
    </w:p>
    <w:p>
      <w:pPr>
        <w:pStyle w:val="ListParagraph"/>
        <w:numPr>
          <w:ilvl w:val="0"/>
          <w:numId w:val="1"/>
        </w:numPr>
        <w:spacing w:after="80"/>
      </w:pPr>
      <w:r>
        <w:rPr>
          <w:i/>
          <w:iCs/>
        </w:rPr>
        <w:t xml:space="preserve">Art. VI:</w:t>
      </w:r>
      <w:r>
        <w:t xml:space="preserve">states are internationally responsible for national activities, and non-governmental activities "shall require authorization and continuing supervision."</w:t>
      </w:r>
    </w:p>
    <w:p>
      <w:pPr>
        <w:pStyle w:val="ListParagraph"/>
        <w:numPr>
          <w:ilvl w:val="0"/>
          <w:numId w:val="1"/>
        </w:numPr>
        <w:spacing w:after="80"/>
      </w:pPr>
      <w:r>
        <w:rPr>
          <w:i/>
          <w:iCs/>
        </w:rPr>
        <w:t xml:space="preserve">Arts. VII–VIII:</w:t>
      </w:r>
      <w:r>
        <w:t xml:space="preserve">launching-state liability; jurisdiction of the state of registry.</w:t>
      </w:r>
    </w:p>
    <w:p>
      <w:pPr>
        <w:pStyle w:val="ListParagraph"/>
        <w:numPr>
          <w:ilvl w:val="0"/>
          <w:numId w:val="1"/>
        </w:numPr>
        <w:spacing w:after="80"/>
      </w:pPr>
      <w:r>
        <w:rPr>
          <w:i/>
          <w:iCs/>
        </w:rPr>
        <w:t xml:space="preserve">Art. IX:</w:t>
      </w:r>
      <w:r>
        <w:t xml:space="preserve">"due regard," avoidance of "harmful contamination," and "appropriate international consultations" before potentially harmful interference.</w:t>
      </w:r>
    </w:p>
    <w:p>
      <w:pPr>
        <w:pStyle w:val="ListParagraph"/>
        <w:numPr>
          <w:ilvl w:val="0"/>
          <w:numId w:val="1"/>
        </w:numPr>
        <w:spacing w:after="80"/>
      </w:pPr>
      <w:r>
        <w:rPr>
          <w:i/>
          <w:iCs/>
        </w:rPr>
        <w:t xml:space="preserve">Art. XII:</w:t>
      </w:r>
      <w:r>
        <w:t xml:space="preserve">stations on celestial bodies are open to other parties' representatives "on a basis of reciprocity," with advance notice and safety precautions.</w:t>
      </w:r>
    </w:p>
    <w:p>
      <w:pPr>
        <w:pStyle w:val="Heading2"/>
        <w:spacing w:after="120" w:before="240"/>
      </w:pPr>
      <w:r>
        <w:rPr>
          <w:b/>
          <w:bCs/>
        </w:rPr>
        <w:t xml:space="preserve">Access, Property, and Safety Zones</w:t>
      </w:r>
    </w:p>
    <w:p>
      <w:pPr>
        <w:pStyle w:val="ListParagraph"/>
        <w:numPr>
          <w:ilvl w:val="0"/>
          <w:numId w:val="1"/>
        </w:numPr>
        <w:spacing w:after="80"/>
      </w:pPr>
      <w:r>
        <w:rPr>
          <w:b/>
          <w:bCs/>
        </w:rPr>
        <w:t xml:space="preserve">Use without title.</w:t>
      </w:r>
      <w:r>
        <w:t xml:space="preserve">Because Article II bars appropriation "by means of use or occupation," a station confers no title to the surface, though the station itself stays under its registering state's jurisdiction. The treaties do not address abandoned sites; the speaker's view that they may eventually be reused is an interpretation, not an established rule. Article XII supports his point that visitors may inspect but not occupy a facility.</w:t>
      </w:r>
    </w:p>
    <w:p>
      <w:pPr>
        <w:pStyle w:val="ListParagraph"/>
        <w:numPr>
          <w:ilvl w:val="0"/>
          <w:numId w:val="1"/>
        </w:numPr>
        <w:spacing w:after="80"/>
      </w:pPr>
      <w:r>
        <w:rPr>
          <w:b/>
          <w:bCs/>
        </w:rPr>
        <w:t xml:space="preserve">Safety zones.</w:t>
      </w:r>
      <w:r>
        <w:t xml:space="preserve">The treaty does not mention them. Section 11 of the Artemis Accords commits signatories to give notice of and coordinate on temporary "safety zones" scaled to the nature of the operations, while respecting free access. Supporters see a way to implement "due regard"; critics warn that zones around scarce sites could become de facto exclusion.</w:t>
      </w:r>
    </w:p>
    <w:p>
      <w:pPr>
        <w:pStyle w:val="ListParagraph"/>
        <w:numPr>
          <w:ilvl w:val="0"/>
          <w:numId w:val="1"/>
        </w:numPr>
        <w:spacing w:after="80"/>
      </w:pPr>
      <w:r>
        <w:rPr>
          <w:b/>
          <w:bCs/>
        </w:rPr>
        <w:t xml:space="preserve">Orbital slot analogy.</w:t>
      </w:r>
      <w:r>
        <w:t xml:space="preserve">The ITU Constitution (Art. 44) treats orbits and spectrum as "limited natural resources" requiring equitable access; recorded assignments protect against interference but confer no ownership.</w:t>
      </w:r>
    </w:p>
    <w:p>
      <w:pPr>
        <w:pStyle w:val="Heading2"/>
        <w:spacing w:after="120" w:before="240"/>
      </w:pPr>
      <w:r>
        <w:rPr>
          <w:b/>
          <w:bCs/>
        </w:rPr>
        <w:t xml:space="preserve">Space Resources</w:t>
      </w:r>
    </w:p>
    <w:p>
      <w:pPr>
        <w:pStyle w:val="ListParagraph"/>
        <w:numPr>
          <w:ilvl w:val="0"/>
          <w:numId w:val="1"/>
        </w:numPr>
        <w:spacing w:after="80"/>
      </w:pPr>
      <w:r>
        <w:rPr>
          <w:b/>
          <w:bCs/>
        </w:rPr>
        <w:t xml:space="preserve">United States.</w:t>
      </w:r>
      <w:r>
        <w:t xml:space="preserve">Title IV of the Commercial Space Launch Competitiveness Act, Pub. L. No. 114-90 (2015), provides that a U.S. citizen engaged in commercial recovery "shall be entitled to any asteroid resource or space resource obtained, including to possess, own, transport, use, and sell" it, consistent with international obligations. 51 U.S.C. § 51303. The Act disclaims any assertion of sovereignty over a celestial body (§ 403).</w:t>
      </w:r>
    </w:p>
    <w:p>
      <w:pPr>
        <w:pStyle w:val="ListParagraph"/>
        <w:numPr>
          <w:ilvl w:val="0"/>
          <w:numId w:val="1"/>
        </w:numPr>
        <w:spacing w:after="80"/>
      </w:pPr>
      <w:r>
        <w:rPr>
          <w:b/>
          <w:bCs/>
        </w:rPr>
        <w:t xml:space="preserve">Executive Order 13914 (Apr. 6, 2020)</w:t>
      </w:r>
      <w:r>
        <w:t xml:space="preserve">states that the United States "does not view [outer space] as a global commons," in contrast with the speaker's description, and rejects the Moon Agreement.</w:t>
      </w:r>
    </w:p>
    <w:p>
      <w:pPr>
        <w:pStyle w:val="ListParagraph"/>
        <w:numPr>
          <w:ilvl w:val="0"/>
          <w:numId w:val="1"/>
        </w:numPr>
        <w:spacing w:after="80"/>
      </w:pPr>
      <w:r>
        <w:rPr>
          <w:b/>
          <w:bCs/>
        </w:rPr>
        <w:t xml:space="preserve">Other national laws.</w:t>
      </w:r>
      <w:r>
        <w:t xml:space="preserve">Luxembourg, Law of July 20, 2017 (Art. 1: "Space resources are capable of being appropriated"); United Arab Emirates, Federal Law No. 12 of 2019 on the Regulation of the Space Sector; Japan, Act No. 83 of 2021, under which a licensed operator acquires ownership by possessing extracted resources with intent to own.</w:t>
      </w:r>
    </w:p>
    <w:p>
      <w:pPr>
        <w:pStyle w:val="ListParagraph"/>
        <w:numPr>
          <w:ilvl w:val="0"/>
          <w:numId w:val="1"/>
        </w:numPr>
        <w:spacing w:after="80"/>
      </w:pPr>
      <w:r>
        <w:rPr>
          <w:b/>
          <w:bCs/>
        </w:rPr>
        <w:t xml:space="preserve">Artemis Accords, Section 10.</w:t>
      </w:r>
      <w:r>
        <w:t xml:space="preserve">Extraction "does not inherently constitute national appropriation under Article II." NASA's December 2020 contracts to buy lunar regolith from four companies ($1 to $15,000 each) apply this view.</w:t>
      </w:r>
    </w:p>
    <w:p>
      <w:pPr>
        <w:pStyle w:val="ListParagraph"/>
        <w:numPr>
          <w:ilvl w:val="0"/>
          <w:numId w:val="1"/>
        </w:numPr>
        <w:spacing w:after="80"/>
      </w:pPr>
      <w:r>
        <w:rPr>
          <w:b/>
          <w:bCs/>
        </w:rPr>
        <w:t xml:space="preserve">Competing view.</w:t>
      </w:r>
      <w:r>
        <w:t xml:space="preserve">Russia and some commentators read Article II, with the Moon Agreement's "common heritage" concept, as barring unilateral grants of resource rights. The speaker considers this the weaker legal reading.</w:t>
      </w:r>
    </w:p>
    <w:p>
      <w:pPr>
        <w:pStyle w:val="ListParagraph"/>
        <w:numPr>
          <w:ilvl w:val="0"/>
          <w:numId w:val="1"/>
        </w:numPr>
        <w:spacing w:after="80"/>
      </w:pPr>
      <w:r>
        <w:rPr>
          <w:b/>
          <w:bCs/>
        </w:rPr>
        <w:t xml:space="preserve">Seabed analogy.</w:t>
      </w:r>
      <w:r>
        <w:t xml:space="preserve">Part XI of the UN Convention on the Law of the Sea (1982) places seabed mining under the International Seabed Authority. The United States is not a party. Lockheed Martin's subsidiary UK Seabed Resources held Authority exploration contracts sponsored by the United Kingdom; Lockheed sold it to Norway's Loke Marine Minerals in 2023.</w:t>
      </w:r>
    </w:p>
    <w:p>
      <w:pPr>
        <w:pStyle w:val="Heading2"/>
        <w:spacing w:after="120" w:before="240"/>
      </w:pPr>
      <w:r>
        <w:rPr>
          <w:b/>
          <w:bCs/>
        </w:rPr>
        <w:t xml:space="preserve">National Licensing and State Liability</w:t>
      </w:r>
    </w:p>
    <w:p>
      <w:pPr>
        <w:pStyle w:val="ListParagraph"/>
        <w:numPr>
          <w:ilvl w:val="0"/>
          <w:numId w:val="1"/>
        </w:numPr>
        <w:spacing w:after="80"/>
      </w:pPr>
      <w:r>
        <w:rPr>
          <w:b/>
          <w:bCs/>
        </w:rPr>
        <w:t xml:space="preserve">U.S. licensing.</w:t>
      </w:r>
      <w:r>
        <w:t xml:space="preserve">The FAA Office of Commercial Space Transportation licenses launch and reentry under 51 U.S.C. ch. 509 (originally the Commercial Space Launch Act of 1984). Licensees must insure against maximum probable loss (§ 50914), and the government may pay third-party claims above that amount, up to a cap (§ 50915), through September 30, 2028. The FCC licenses satellites (47 C.F.R. Part 25), and NOAA licenses remote sensing (51 U.S.C. ch. 601).</w:t>
      </w:r>
    </w:p>
    <w:p>
      <w:pPr>
        <w:pStyle w:val="ListParagraph"/>
        <w:numPr>
          <w:ilvl w:val="0"/>
          <w:numId w:val="1"/>
        </w:numPr>
        <w:spacing w:after="80"/>
      </w:pPr>
      <w:r>
        <w:rPr>
          <w:b/>
          <w:bCs/>
        </w:rPr>
        <w:t xml:space="preserve">Liability Convention (1972).</w:t>
      </w:r>
      <w:r>
        <w:t xml:space="preserve">A "launching state" launches or procures a launch, or provides the territory or facility (Art. I). Liability is absolute for damage on the Earth's surface or to aircraft in flight (Art. II) and fault-based elsewhere, such as orbital collisions (Art. III). States present claims through diplomatic channels (Art. IX). The 2009 collision of a defunct Russian satellite with Iridium 33 produced no formal claim.</w:t>
      </w:r>
    </w:p>
    <w:p>
      <w:pPr>
        <w:pStyle w:val="ListParagraph"/>
        <w:numPr>
          <w:ilvl w:val="0"/>
          <w:numId w:val="1"/>
        </w:numPr>
        <w:spacing w:after="80"/>
      </w:pPr>
      <w:r>
        <w:rPr>
          <w:b/>
          <w:bCs/>
        </w:rPr>
        <w:t xml:space="preserve">Correction: a claim has been paid.</w:t>
      </w:r>
      <w:r>
        <w:t xml:space="preserve">Contrary to the speaker's statement that no state has paid another for space damage, after the nuclear-powered Soviet satellite Kosmos 954 scattered radioactive debris over northern Canada in 1978, Canada claimed about C$6 million, citing the Liability Convention, and the Soviet Union paid C$3 million in a 1981 settlement.</w:t>
      </w:r>
    </w:p>
    <w:p>
      <w:pPr>
        <w:pStyle w:val="Heading2"/>
        <w:spacing w:after="120" w:before="240"/>
      </w:pPr>
      <w:r>
        <w:rPr>
          <w:b/>
          <w:bCs/>
        </w:rPr>
        <w:t xml:space="preserve">Space Debris</w:t>
      </w:r>
    </w:p>
    <w:p>
      <w:pPr>
        <w:pStyle w:val="ListParagraph"/>
        <w:numPr>
          <w:ilvl w:val="0"/>
          <w:numId w:val="1"/>
        </w:numPr>
        <w:spacing w:after="80"/>
      </w:pPr>
      <w:r>
        <w:rPr>
          <w:b/>
          <w:bCs/>
        </w:rPr>
        <w:t xml:space="preserve">No express treaty duty.</w:t>
      </w:r>
      <w:r>
        <w:t xml:space="preserve">The treaties do not expressly bar creating debris, though some read Article IX to reach it.</w:t>
      </w:r>
    </w:p>
    <w:p>
      <w:pPr>
        <w:pStyle w:val="ListParagraph"/>
        <w:numPr>
          <w:ilvl w:val="0"/>
          <w:numId w:val="1"/>
        </w:numPr>
        <w:spacing w:after="80"/>
      </w:pPr>
      <w:r>
        <w:rPr>
          <w:b/>
          <w:bCs/>
        </w:rPr>
        <w:t xml:space="preserve">Guidelines.</w:t>
      </w:r>
      <w:r>
        <w:t xml:space="preserve">IADC guidelines (2002); UN COPUOS Space Debris Mitigation Guidelines (2007); COPUOS Long-term Sustainability Guidelines (2019).</w:t>
      </w:r>
    </w:p>
    <w:p>
      <w:pPr>
        <w:pStyle w:val="ListParagraph"/>
        <w:numPr>
          <w:ilvl w:val="0"/>
          <w:numId w:val="1"/>
        </w:numPr>
        <w:spacing w:after="80"/>
      </w:pPr>
      <w:r>
        <w:rPr>
          <w:b/>
          <w:bCs/>
        </w:rPr>
        <w:t xml:space="preserve">National implementation.</w:t>
      </w:r>
      <w:r>
        <w:t xml:space="preserve">On September 29, 2022, the FCC required low Earth orbit satellites to deorbit no later than five years after mission end, replacing the 25-year guideline. In October 2023, it settled its first debris enforcement case, fining DISH $150,000. SpaceX's Starlink network passed 10,000 satellites in March 2026.</w:t>
      </w:r>
    </w:p>
    <w:p>
      <w:pPr>
        <w:pStyle w:val="ListParagraph"/>
        <w:numPr>
          <w:ilvl w:val="0"/>
          <w:numId w:val="1"/>
        </w:numPr>
        <w:spacing w:after="80"/>
      </w:pPr>
      <w:r>
        <w:rPr>
          <w:b/>
          <w:bCs/>
        </w:rPr>
        <w:t xml:space="preserve">Anti-satellite tests.</w:t>
      </w:r>
      <w:r>
        <w:t xml:space="preserve">India tested on March 27, 2019. Russia's November 15, 2021 test against Kosmos 1408 created more than 1,500 pieces of trackable debris. A U.S. moratorium on destructive direct-ascent tests (April 2022) was followed by a nonbinding General Assembly resolution urging similar pledges (December 2022).</w:t>
      </w:r>
    </w:p>
    <w:p>
      <w:pPr>
        <w:pStyle w:val="Heading2"/>
        <w:spacing w:after="120" w:before="240"/>
      </w:pPr>
      <w:r>
        <w:rPr>
          <w:b/>
          <w:bCs/>
        </w:rPr>
        <w:t xml:space="preserve">Human Spaceflight: Passengers and Rescue</w:t>
      </w:r>
    </w:p>
    <w:p>
      <w:pPr>
        <w:pStyle w:val="ListParagraph"/>
        <w:numPr>
          <w:ilvl w:val="0"/>
          <w:numId w:val="1"/>
        </w:numPr>
        <w:spacing w:after="80"/>
      </w:pPr>
      <w:r>
        <w:rPr>
          <w:b/>
          <w:bCs/>
        </w:rPr>
        <w:t xml:space="preserve">Informed consent.</w:t>
      </w:r>
      <w:r>
        <w:t xml:space="preserve">Operators must disclose the risks in writing, including that the U.S. government has not certified the vehicle as safe, and obtain written consent. 51 U.S.C. § 50905(b)(5). Participants also waive claims against the federal government.</w:t>
      </w:r>
    </w:p>
    <w:p>
      <w:pPr>
        <w:pStyle w:val="ListParagraph"/>
        <w:numPr>
          <w:ilvl w:val="0"/>
          <w:numId w:val="1"/>
        </w:numPr>
        <w:spacing w:after="80"/>
      </w:pPr>
      <w:r>
        <w:rPr>
          <w:b/>
          <w:bCs/>
        </w:rPr>
        <w:t xml:space="preserve">Correction: a regulatory moratorium, not a liability exemption.</w:t>
      </w:r>
      <w:r>
        <w:t xml:space="preserve">Federal law does not itself shield operators from passenger suits; several states, including Virginia, Florida, Texas, and New Mexico, have spaceflight informed-consent statutes limiting operator liability. The time-limited federal provision is the "learning period," which bars most FAA occupant-safety regulations. Then set to expire in 2023, it now runs to January 1, 2028 (Pub. L. No. 118-159).</w:t>
      </w:r>
    </w:p>
    <w:p>
      <w:pPr>
        <w:pStyle w:val="ListParagraph"/>
        <w:numPr>
          <w:ilvl w:val="0"/>
          <w:numId w:val="1"/>
        </w:numPr>
        <w:spacing w:after="80"/>
      </w:pPr>
      <w:r>
        <w:rPr>
          <w:b/>
          <w:bCs/>
        </w:rPr>
        <w:t xml:space="preserve">Rescue.</w:t>
      </w:r>
      <w:r>
        <w:t xml:space="preserve">Article V calls astronauts "envoys of mankind," and the Rescue Agreement applies to "personnel of a spacecraft." Whether tourists are covered is debated.</w:t>
      </w:r>
    </w:p>
    <w:p>
      <w:pPr>
        <w:pStyle w:val="ListParagraph"/>
        <w:numPr>
          <w:ilvl w:val="0"/>
          <w:numId w:val="1"/>
        </w:numPr>
        <w:spacing w:after="80"/>
      </w:pPr>
      <w:r>
        <w:rPr>
          <w:b/>
          <w:bCs/>
        </w:rPr>
        <w:t xml:space="preserve">Orbital private flight.</w:t>
      </w:r>
      <w:r>
        <w:t xml:space="preserve">Despite the speaker's expectation of no near-term orbital tourism, private missions have included Inspiration4 (2021), Axiom Space missions (2022–2025), and Polaris Dawn, which made the first commercial spacewalk in 2024. NASA's Commercial Crew providers are SpaceX and Boeing, not Blue Origin.</w:t>
      </w:r>
    </w:p>
    <w:p>
      <w:pPr>
        <w:pStyle w:val="Heading2"/>
        <w:spacing w:after="120" w:before="240"/>
      </w:pPr>
      <w:r>
        <w:rPr>
          <w:b/>
          <w:bCs/>
        </w:rPr>
        <w:t xml:space="preserve">Military Uses of Space</w:t>
      </w:r>
    </w:p>
    <w:p>
      <w:pPr>
        <w:pStyle w:val="ListParagraph"/>
        <w:numPr>
          <w:ilvl w:val="0"/>
          <w:numId w:val="1"/>
        </w:numPr>
        <w:spacing w:after="80"/>
      </w:pPr>
      <w:r>
        <w:rPr>
          <w:b/>
          <w:bCs/>
        </w:rPr>
        <w:t xml:space="preserve">Celestial bodies.</w:t>
      </w:r>
      <w:r>
        <w:t xml:space="preserve">Article IV forbids "military bases, installations and fortifications, the testing of any type of weapons and the conduct of military manoeuvres on celestial bodies," but permits military personnel "for scientific research or for any other peaceful purposes." The provision thus does refer to weapons, contrary to the speaker's remark.</w:t>
      </w:r>
    </w:p>
    <w:p>
      <w:pPr>
        <w:pStyle w:val="ListParagraph"/>
        <w:numPr>
          <w:ilvl w:val="0"/>
          <w:numId w:val="1"/>
        </w:numPr>
        <w:spacing w:after="80"/>
      </w:pPr>
      <w:r>
        <w:rPr>
          <w:b/>
          <w:bCs/>
        </w:rPr>
        <w:t xml:space="preserve">Orbit.</w:t>
      </w:r>
      <w:r>
        <w:t xml:space="preserve">Only weapons of mass destruction are expressly barred; military satellites are lawful.</w:t>
      </w:r>
    </w:p>
    <w:p>
      <w:pPr>
        <w:pStyle w:val="ListParagraph"/>
        <w:numPr>
          <w:ilvl w:val="0"/>
          <w:numId w:val="1"/>
        </w:numPr>
        <w:spacing w:after="80"/>
      </w:pPr>
      <w:r>
        <w:rPr>
          <w:b/>
          <w:bCs/>
        </w:rPr>
        <w:t xml:space="preserve">U.S. Space Force.</w:t>
      </w:r>
      <w:r>
        <w:t xml:space="preserve">Established December 20, 2019 (Pub. L. No. 116-92) within the Department of the Air Force.</w:t>
      </w:r>
    </w:p>
    <w:p>
      <w:pPr>
        <w:pStyle w:val="Heading2"/>
        <w:spacing w:after="120" w:before="240"/>
      </w:pPr>
      <w:r>
        <w:rPr>
          <w:b/>
          <w:bCs/>
        </w:rPr>
        <w:t xml:space="preserve">Developments to Know</w:t>
      </w:r>
    </w:p>
    <w:p>
      <w:pPr>
        <w:pStyle w:val="ListParagraph"/>
        <w:numPr>
          <w:ilvl w:val="0"/>
          <w:numId w:val="1"/>
        </w:numPr>
        <w:spacing w:after="80"/>
      </w:pPr>
      <w:r>
        <w:rPr>
          <w:b/>
          <w:bCs/>
        </w:rPr>
        <w:t xml:space="preserve">Artemis Accords.</w:t>
      </w:r>
      <w:r>
        <w:t xml:space="preserve">Signed by eight founding nations in October 2020; San Marino became the 76th signatory on September 25, 2026.</w:t>
      </w:r>
    </w:p>
    <w:p>
      <w:pPr>
        <w:pStyle w:val="ListParagraph"/>
        <w:numPr>
          <w:ilvl w:val="0"/>
          <w:numId w:val="1"/>
        </w:numPr>
        <w:spacing w:after="80"/>
      </w:pPr>
      <w:r>
        <w:rPr>
          <w:b/>
          <w:bCs/>
        </w:rPr>
        <w:t xml:space="preserve">Artemis missions (2026).</w:t>
      </w:r>
      <w:r>
        <w:t xml:space="preserve">Artemis II flew four astronauts around the Moon in April 2026. After a 2027 docking test in Earth orbit, NASA plans the first landing on Artemis IV in 2028.</w:t>
      </w:r>
    </w:p>
    <w:p>
      <w:pPr>
        <w:pStyle w:val="ListParagraph"/>
        <w:numPr>
          <w:ilvl w:val="0"/>
          <w:numId w:val="1"/>
        </w:numPr>
        <w:spacing w:after="80"/>
      </w:pPr>
      <w:r>
        <w:rPr>
          <w:b/>
          <w:bCs/>
        </w:rPr>
        <w:t xml:space="preserve">UN space resources principles (2021–2027).</w:t>
      </w:r>
      <w:r>
        <w:t xml:space="preserve">The COPUOS Working Group on Legal Aspects of Space Resource Activities, established in 2021, circulated draft recommended principles in 2025 and plans to finalize them in 2027.</w:t>
      </w:r>
    </w:p>
    <w:p>
      <w:pPr>
        <w:pStyle w:val="ListParagraph"/>
        <w:numPr>
          <w:ilvl w:val="0"/>
          <w:numId w:val="1"/>
        </w:numPr>
        <w:spacing w:after="80"/>
      </w:pPr>
      <w:r>
        <w:rPr>
          <w:b/>
          <w:bCs/>
        </w:rPr>
        <w:t xml:space="preserve">International Lunar Research Station.</w:t>
      </w:r>
      <w:r>
        <w:t xml:space="preserve">Announced by China and Russia in 2021; in May 2025 they agreed to build a lunar power station for it by 2036.</w:t>
      </w:r>
    </w:p>
    <w:p>
      <w:pPr>
        <w:pStyle w:val="ListParagraph"/>
        <w:numPr>
          <w:ilvl w:val="0"/>
          <w:numId w:val="1"/>
        </w:numPr>
        <w:spacing w:after="80"/>
      </w:pPr>
      <w:r>
        <w:rPr>
          <w:b/>
          <w:bCs/>
        </w:rPr>
        <w:t xml:space="preserve">Lunar landings (2023–2025).</w:t>
      </w:r>
      <w:r>
        <w:t xml:space="preserve">India landed near the south pole in August 2023. Intuitive Machines' landers tipped over in 2024 and 2025, ispace lost landers in 2023 and 2025, and Firefly's Blue Ghost made the first fully successful commercial landing on March 2, 2025.</w:t>
      </w:r>
    </w:p>
    <w:p>
      <w:pPr>
        <w:pStyle w:val="ListParagraph"/>
        <w:numPr>
          <w:ilvl w:val="0"/>
          <w:numId w:val="1"/>
        </w:numPr>
        <w:spacing w:after="80"/>
      </w:pPr>
      <w:r>
        <w:rPr>
          <w:b/>
          <w:bCs/>
        </w:rPr>
        <w:t xml:space="preserve">Russian veto (Apr. 24, 2024).</w:t>
      </w:r>
      <w:r>
        <w:t xml:space="preserve">After U.S. officials said Russia was developing a satellite carrying a nuclear device, Russia vetoed a U.S.-Japan Security Council resolution reaffirming Article IV's bar on nuclear weapons in orbit.</w:t>
      </w:r>
    </w:p>
    <w:p>
      <w:pPr>
        <w:pStyle w:val="ListParagraph"/>
        <w:numPr>
          <w:ilvl w:val="0"/>
          <w:numId w:val="1"/>
        </w:numPr>
        <w:spacing w:after="80"/>
      </w:pPr>
      <w:r>
        <w:rPr>
          <w:b/>
          <w:bCs/>
        </w:rPr>
        <w:t xml:space="preserve">Florida debris claim (2024).</w:t>
      </w:r>
      <w:r>
        <w:t xml:space="preserve">On March 8, 2024, NASA hardware from a jettisoned ISS battery pallet struck a home in Naples, Florida. The Liability Convention does not cover damage to a launching state's own nationals (Art. VII), so the family claimed under the Federal Tort Claims Act, and in November 2024 NASA paid $44,151.22 without admitting fault or liability.</w:t>
      </w:r>
    </w:p>
    <w:p>
      <w:pPr>
        <w:pStyle w:val="ListParagraph"/>
        <w:numPr>
          <w:ilvl w:val="0"/>
          <w:numId w:val="1"/>
        </w:numPr>
        <w:spacing w:after="80"/>
      </w:pPr>
      <w:r>
        <w:rPr>
          <w:b/>
          <w:bCs/>
        </w:rPr>
        <w:t xml:space="preserve">Executive Order 14335 (Aug. 13, 2025).</w:t>
      </w:r>
      <w:r>
        <w:t xml:space="preserve">Directed Commerce to propose individualized mission authorization for novel activities covered by Article VI, and the Transportation Department to streamline launch licensing and environmental reviews. Commerce released a draft concept in December 2025 and a "Space Commerce Certification" proposal on March 24, 2026.</w:t>
      </w:r>
    </w:p>
    <w:p>
      <w:pPr>
        <w:pStyle w:val="ListParagraph"/>
        <w:numPr>
          <w:ilvl w:val="0"/>
          <w:numId w:val="1"/>
        </w:numPr>
        <w:spacing w:after="80"/>
      </w:pPr>
      <w:r>
        <w:rPr>
          <w:b/>
          <w:bCs/>
        </w:rPr>
        <w:t xml:space="preserve">Suborbital tourism.</w:t>
      </w:r>
      <w:r>
        <w:t xml:space="preserve">Crewed flights began in July 2021. Virgin Galactic paused in mid-2024 to develop a new vehicle, and Blue Origin paused New Shepard in January 2026 for at least two years.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2026-09-28T18:13:15.565Z</dcterms:created>
  <dcterms:modified xsi:type="dcterms:W3CDTF">2026-09-28T18:13:15.565Z</dcterms:modified>
</cp:coreProperties>
</file>

<file path=docProps/custom.xml><?xml version="1.0" encoding="utf-8"?>
<Properties xmlns="http://schemas.openxmlformats.org/officeDocument/2006/custom-properties" xmlns:vt="http://schemas.openxmlformats.org/officeDocument/2006/docPropsVTypes"/>
</file>