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Continuing Legal Education Written Materials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Outer Space — Rights and Resources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0"/>
          <w:bCs w:val="0"/>
          <w:rtl w:val="0"/>
        </w:rPr>
        <w:t xml:space="preserve">Based on a TalksOnLaw interview with Professor Frans von der Dunk on space law, resource extraction, space tourism, and militarization.</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1. Orientation: What This Course Covers (and Why It Matters)</w:t>
      </w:r>
    </w:p>
    <w:p w:rsidR="00000000" w:rsidDel="00000000" w:rsidP="00000000" w:rsidRDefault="00000000" w:rsidRPr="00000000" w14:paraId="00000005">
      <w:pPr>
        <w:rPr/>
      </w:pPr>
      <w:r w:rsidDel="00000000" w:rsidR="00000000" w:rsidRPr="00000000">
        <w:rPr>
          <w:rtl w:val="0"/>
        </w:rPr>
        <w:t xml:space="preserve">The interview explains how rights and resources in outer space are governed primarily by international treaties and customary international law, but implemented through national regulation. It focuses on three high-growth areas that raise recurring legal questions: (1) extraction and use of space resources (especially lunar water and other in-situ resources), (2) the rapid commercialization of spaceflight and the emergence of space tourism, and (3) the security dimension—militarization and weaponization—and how legal rules and norms shape behavior.</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Core theme: The Outer Space Treaty is the foundational framework, but it leaves many operational details to state practice—creating space for customary norms to develop.</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Practical takeaway: Most ‘space law’ problems become multi-layered: treaty interpretation, domestic licensing, contract allocation of risk, insurance, and evidence about how operations actually occur.</w:t>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1.1 Learning Objectives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central principles of the 1967 Outer Space Treaty and how they allocate rights and responsibilities among States and private actors.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Analyze the sovereignty/appropriation prohibition and why it creates friction with commercial resource extraction and operational safety zones.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how customary international law can develop through consistent state practice and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opinio juris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using contemporary lunar initiatives as examples.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the legal structure of space tourism (suborbital vs orbital; ‘astronaut’ vs ‘spaceflight participant’) and how liability may be allocated.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 the Liability Convention and related treaty principles to modern commercial activity (launching-state liability; contractual cross-waivers; passenger risk).</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Recognize the legal limits on weaponization/militarization in outer space and current norm-building efforts around debris-generating ASAT activity.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checklists to advise a space company or government client on compliance planning, licensing, and dispute avoidance.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2. The Legal Architecture: Treaties, Customary International Law, and National Implementation</w:t>
      </w:r>
    </w:p>
    <w:p w:rsidR="00000000" w:rsidDel="00000000" w:rsidP="00000000" w:rsidRDefault="00000000" w:rsidRPr="00000000" w14:paraId="00000012">
      <w:pPr>
        <w:rPr/>
      </w:pPr>
      <w:r w:rsidDel="00000000" w:rsidR="00000000" w:rsidRPr="00000000">
        <w:rPr>
          <w:rtl w:val="0"/>
        </w:rPr>
        <w:t xml:space="preserve">The interview emphasizes that outer space is not governed by a single ‘world space authority.’ Instead, the legal system is layered: (1) multilateral treaties and UN principles set baseline rules; (2) customary international law fills gaps over time; and (3) States authorize and supervise private activities through national laws and licensing regimes.</w:t>
      </w:r>
    </w:p>
    <w:p w:rsidR="00000000" w:rsidDel="00000000" w:rsidP="00000000" w:rsidRDefault="00000000" w:rsidRPr="00000000" w14:paraId="00000013">
      <w:pPr>
        <w:pStyle w:val="Heading2"/>
        <w:rPr/>
      </w:pPr>
      <w:r w:rsidDel="00000000" w:rsidR="00000000" w:rsidRPr="00000000">
        <w:rPr>
          <w:rtl w:val="0"/>
        </w:rPr>
        <w:t xml:space="preserve">2.1 Treaty law vs. customary international law (why the distinction matters)</w:t>
      </w:r>
    </w:p>
    <w:p w:rsidR="00000000" w:rsidDel="00000000" w:rsidP="00000000" w:rsidRDefault="00000000" w:rsidRPr="00000000" w14:paraId="00000014">
      <w:pPr>
        <w:rPr/>
      </w:pPr>
      <w:r w:rsidDel="00000000" w:rsidR="00000000" w:rsidRPr="00000000">
        <w:rPr>
          <w:rtl w:val="0"/>
        </w:rPr>
        <w:t xml:space="preserve">Treaty rules bind States that are parties. Customary international law can bind more broadly, but requires consistent state practice coupled with a sense of legal obligation. The interview uses modern lunar initiatives to illustrate how repeated practice—especially when publicly justified as legally required—can contribute to customary norms.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Treaty: written agreement (e.g., Outer Space Treaty) with defined obligations and parties.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Custom: develops through (a) widespread/consistent practice and (b)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opinio juris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belief the practice is legally required).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application: Sustained practice around lunar environmental protection and deconfliction could, over time, influence customary expectations—especially if many States act consistently and invoke legal obligation.</w:t>
      </w: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2.2 State responsibility for private actors</w:t>
      </w:r>
    </w:p>
    <w:p w:rsidR="00000000" w:rsidDel="00000000" w:rsidP="00000000" w:rsidRDefault="00000000" w:rsidRPr="00000000" w14:paraId="00000019">
      <w:pPr>
        <w:rPr/>
      </w:pPr>
      <w:r w:rsidDel="00000000" w:rsidR="00000000" w:rsidRPr="00000000">
        <w:rPr>
          <w:rtl w:val="0"/>
        </w:rPr>
        <w:t xml:space="preserve">A recurring theme is that private companies do not operate ‘outside the law.’ Under the Outer Space Treaty framework, States remain responsible for national activities in outer space and must authorize and continuously supervise non-governmental entities. As commercial activity grows, domestic licensing, oversight, and enforcement become central to legal compliance.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Legal consequence: counsel must track both treaty obligations and the domestic regulatory chain (launch authorization, payload approvals, frequency/spectrum, export controls, and safety).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Operational consequence: a State may face international responsibility even when a private operator caused the incident, which can drive stricter licensing terms and insurance requirements.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3. Major Treaties and What They Do</w:t>
      </w:r>
    </w:p>
    <w:p w:rsidR="00000000" w:rsidDel="00000000" w:rsidP="00000000" w:rsidRDefault="00000000" w:rsidRPr="00000000" w14:paraId="0000001E">
      <w:pPr>
        <w:rPr/>
      </w:pPr>
      <w:r w:rsidDel="00000000" w:rsidR="00000000" w:rsidRPr="00000000">
        <w:rPr>
          <w:rtl w:val="0"/>
        </w:rPr>
        <w:t xml:space="preserve">The original written materials identify the main treaties relevant to rights and resources. The interview treats the Outer Space Treaty (1967) as the cornerstone and then draws on later instruments for specific issues (rescue, liability, and the Moon Agreement).</w:t>
      </w:r>
    </w:p>
    <w:p w:rsidR="00000000" w:rsidDel="00000000" w:rsidP="00000000" w:rsidRDefault="00000000" w:rsidRPr="00000000" w14:paraId="0000001F">
      <w:pPr>
        <w:pStyle w:val="Heading2"/>
        <w:rPr/>
      </w:pPr>
      <w:r w:rsidDel="00000000" w:rsidR="00000000" w:rsidRPr="00000000">
        <w:rPr>
          <w:rtl w:val="0"/>
        </w:rPr>
        <w:t xml:space="preserve">3.1 1967 Outer Space Treaty (OST): baseline rights, limits, and responsibility</w:t>
      </w:r>
    </w:p>
    <w:p w:rsidR="00000000" w:rsidDel="00000000" w:rsidP="00000000" w:rsidRDefault="00000000" w:rsidRPr="00000000" w14:paraId="00000020">
      <w:pPr>
        <w:rPr/>
      </w:pPr>
      <w:r w:rsidDel="00000000" w:rsidR="00000000" w:rsidRPr="00000000">
        <w:rPr>
          <w:rtl w:val="0"/>
        </w:rPr>
        <w:t xml:space="preserve">The OST sets general principles: free exploration and use; non-appropriation; peaceful purposes on celestial bodies; prohibition on placing nuclear weapons or other WMD in orbit; and state responsibility and liability for space objects.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Free use + access: outer space is open to all States for exploration and use, subject to treaty limits and ‘due regard’ for others’ interests.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Non-appropriation: no national sovereignty claims over the Moon or other celestial bodies by use, occupation, or other means.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Responsibility/supervision: States must authorize and supervise non-governmental activities.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Liability: launching States are internationally liable for damage caused by their space objects (elaborated by the Liability Convention).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Security baseline: Article IV prohibits nuclear weapons/WMD in orbit and restricts military activities on celestial bodies.</w:t>
      </w:r>
      <w:r w:rsidDel="00000000" w:rsidR="00000000" w:rsidRPr="00000000">
        <w:rPr>
          <w:rtl w:val="0"/>
        </w:rPr>
      </w:r>
    </w:p>
    <w:p w:rsidR="00000000" w:rsidDel="00000000" w:rsidP="00000000" w:rsidRDefault="00000000" w:rsidRPr="00000000" w14:paraId="00000026">
      <w:pPr>
        <w:pStyle w:val="Heading2"/>
        <w:rPr/>
      </w:pPr>
      <w:r w:rsidDel="00000000" w:rsidR="00000000" w:rsidRPr="00000000">
        <w:rPr>
          <w:rtl w:val="0"/>
        </w:rPr>
        <w:t xml:space="preserve">3.2 1979 Moon Agreement: “common heritage” language and limited uptake</w:t>
      </w:r>
    </w:p>
    <w:p w:rsidR="00000000" w:rsidDel="00000000" w:rsidP="00000000" w:rsidRDefault="00000000" w:rsidRPr="00000000" w14:paraId="00000027">
      <w:pPr>
        <w:rPr/>
      </w:pPr>
      <w:r w:rsidDel="00000000" w:rsidR="00000000" w:rsidRPr="00000000">
        <w:rPr>
          <w:rtl w:val="0"/>
        </w:rPr>
        <w:t xml:space="preserve">The Moon Agreement contains stronger language about lunar resources and proposes an international regime for exploitation, but it has not been ratified by major spacefaring States. The interview uses this to illustrate how the treaty baseline differs from ambitious resource-governance proposals.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Practical point: when a treaty has limited participation, its direct binding force is limited, but its concepts may still influence negotiations and norms.</w:t>
      </w: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3.3 1968 Rescue Agreement and duty to assist</w:t>
      </w:r>
    </w:p>
    <w:p w:rsidR="00000000" w:rsidDel="00000000" w:rsidP="00000000" w:rsidRDefault="00000000" w:rsidRPr="00000000" w14:paraId="0000002A">
      <w:pPr>
        <w:rPr/>
      </w:pPr>
      <w:r w:rsidDel="00000000" w:rsidR="00000000" w:rsidRPr="00000000">
        <w:rPr>
          <w:rtl w:val="0"/>
        </w:rPr>
        <w:t xml:space="preserve">The Rescue Agreement (and OST Article V) establishes obligations to render assistance to astronauts in distress and to return astronauts and space objects. The interview raises the modern question of how these duties apply in a world where travelers may be ‘tourists’ rather than career astronauts.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Issue-spotting: status labels (‘astronaut’ vs ‘spaceflight participant’) can affect how obligations are discussed, but States may still choose to provide assistance as a matter of treaty interpretation, practice, and policy.</w:t>
      </w: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t xml:space="preserve">3.4 1972 Liability Convention: liability among States for damage by space objects</w:t>
      </w:r>
    </w:p>
    <w:p w:rsidR="00000000" w:rsidDel="00000000" w:rsidP="00000000" w:rsidRDefault="00000000" w:rsidRPr="00000000" w14:paraId="0000002D">
      <w:pPr>
        <w:rPr/>
      </w:pPr>
      <w:r w:rsidDel="00000000" w:rsidR="00000000" w:rsidRPr="00000000">
        <w:rPr>
          <w:rtl w:val="0"/>
        </w:rPr>
        <w:t xml:space="preserve">The Liability Convention develops the OST’s liability principle and provides a framework for claims between States for damage caused by space objects. The interview links this to commercial activity because private operators’ risks are often backstopped by launching-state liability and then allocated contractually and through insurance.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International layer: injured State may present a claim to the launching State.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Private layer: contracts and insurance allocate risk between operators, customers, and passengers, often with cross-waivers.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4. Rights of Access, ‘Due Regard,’ and Operational Deconfliction</w:t>
      </w:r>
    </w:p>
    <w:p w:rsidR="00000000" w:rsidDel="00000000" w:rsidP="00000000" w:rsidRDefault="00000000" w:rsidRPr="00000000" w14:paraId="00000032">
      <w:pPr>
        <w:rPr/>
      </w:pPr>
      <w:r w:rsidDel="00000000" w:rsidR="00000000" w:rsidRPr="00000000">
        <w:rPr>
          <w:rtl w:val="0"/>
        </w:rPr>
        <w:t xml:space="preserve">The interview emphasizes that ‘nobody owns the Moon,’ but operations still require practical deconfliction. Modern disputes frequently arise around how to protect safety and operations without sliding into prohibited territorial sovereignty.</w:t>
      </w:r>
    </w:p>
    <w:p w:rsidR="00000000" w:rsidDel="00000000" w:rsidP="00000000" w:rsidRDefault="00000000" w:rsidRPr="00000000" w14:paraId="00000033">
      <w:pPr>
        <w:pStyle w:val="Heading2"/>
        <w:rPr/>
      </w:pPr>
      <w:r w:rsidDel="00000000" w:rsidR="00000000" w:rsidRPr="00000000">
        <w:rPr>
          <w:rtl w:val="0"/>
        </w:rPr>
        <w:t xml:space="preserve">4.1 Non-appropriation vs. practical safety zones</w:t>
      </w:r>
    </w:p>
    <w:p w:rsidR="00000000" w:rsidDel="00000000" w:rsidP="00000000" w:rsidRDefault="00000000" w:rsidRPr="00000000" w14:paraId="00000034">
      <w:pPr>
        <w:rPr/>
      </w:pPr>
      <w:r w:rsidDel="00000000" w:rsidR="00000000" w:rsidRPr="00000000">
        <w:rPr>
          <w:rtl w:val="0"/>
        </w:rPr>
        <w:t xml:space="preserve">A common question is whether an operator can establish a ‘buffer zone’ around a lunar site or space station for safety or privacy. The interviewer's approach is cautious: the treaties do not create territorial waters in space, but they contemplate reasonable safety precautions and due regard. In practice, the legality of a safety zone often depends on its scope, purpose, duration, and how other States react to it.</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Key distinction: a narrowly tailored safety zone designed to prevent harmful interference is easier to justify than a broad exclusion zone that functions like ownership.</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Customary-law pathway: if many States adopt similar limited safety practices and treat them as legally required (not merely convenient), norms may harden over time.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nuance: The interview notes that ‘reasonable’ is a legally loaded term and that reactions of other States (acceptance vs. objection) matter for norm development.</w:t>
      </w:r>
      <w:r w:rsidDel="00000000" w:rsidR="00000000" w:rsidRPr="00000000">
        <w:rPr>
          <w:rtl w:val="0"/>
        </w:rPr>
      </w:r>
    </w:p>
    <w:p w:rsidR="00000000" w:rsidDel="00000000" w:rsidP="00000000" w:rsidRDefault="00000000" w:rsidRPr="00000000" w14:paraId="00000038">
      <w:pPr>
        <w:pStyle w:val="Heading2"/>
        <w:rPr/>
      </w:pPr>
      <w:r w:rsidDel="00000000" w:rsidR="00000000" w:rsidRPr="00000000">
        <w:rPr>
          <w:rtl w:val="0"/>
        </w:rPr>
        <w:t xml:space="preserve">4.2 Orbital slots and time-limited occupation (GEO as an analogy)</w:t>
      </w:r>
    </w:p>
    <w:p w:rsidR="00000000" w:rsidDel="00000000" w:rsidP="00000000" w:rsidRDefault="00000000" w:rsidRPr="00000000" w14:paraId="00000039">
      <w:pPr>
        <w:rPr/>
      </w:pPr>
      <w:r w:rsidDel="00000000" w:rsidR="00000000" w:rsidRPr="00000000">
        <w:rPr>
          <w:rtl w:val="0"/>
        </w:rPr>
        <w:t xml:space="preserve">The interview also uses geostationary orbit (GEO) as an example of practical allocation: slot use can be effectively exclusive in practice but is generally treated as time-limited and subject to coordination, not permanent appropriation. This illustrates how access issues are often managed through coordination regimes rather than sovereignty claims.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Teaching point: ‘exclusive use for a period’ can exist without ‘sovereignty,’ but the legal framing and institutional process (coordination and reversion) matter.</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5. Space Mining and Resource Extraction: Legal Questions and Competing Interpretations</w:t>
      </w:r>
    </w:p>
    <w:p w:rsidR="00000000" w:rsidDel="00000000" w:rsidP="00000000" w:rsidRDefault="00000000" w:rsidRPr="00000000" w14:paraId="0000003D">
      <w:pPr>
        <w:rPr/>
      </w:pPr>
      <w:r w:rsidDel="00000000" w:rsidR="00000000" w:rsidRPr="00000000">
        <w:rPr>
          <w:rtl w:val="0"/>
        </w:rPr>
        <w:t xml:space="preserve">The interview identifies lunar water and other in-situ resources as focal points. Water is valuable not only for life support but also for making propellant. The legal question is not whether States can explore and use space; it is whether extraction and ownership of extracted resources can occur without violating non-appropriation.</w:t>
      </w:r>
    </w:p>
    <w:p w:rsidR="00000000" w:rsidDel="00000000" w:rsidP="00000000" w:rsidRDefault="00000000" w:rsidRPr="00000000" w14:paraId="0000003E">
      <w:pPr>
        <w:pStyle w:val="Heading2"/>
        <w:rPr/>
      </w:pPr>
      <w:r w:rsidDel="00000000" w:rsidR="00000000" w:rsidRPr="00000000">
        <w:rPr>
          <w:rtl w:val="0"/>
        </w:rPr>
        <w:t xml:space="preserve">5.1 What the OST clearly says—and what it leaves open</w:t>
      </w:r>
    </w:p>
    <w:p w:rsidR="00000000" w:rsidDel="00000000" w:rsidP="00000000" w:rsidRDefault="00000000" w:rsidRPr="00000000" w14:paraId="0000003F">
      <w:pPr>
        <w:rPr/>
      </w:pPr>
      <w:r w:rsidDel="00000000" w:rsidR="00000000" w:rsidRPr="00000000">
        <w:rPr>
          <w:rtl w:val="0"/>
        </w:rPr>
        <w:t xml:space="preserve">The interview explains that the OST prohibits national appropriation of territory, but does not expressly address private or state ownership of extracted resources. As a result, two broad interpretive camps appear in scholarship and state practice.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Commons-oriented view: because outer space is the ‘province of all mankind,’ extracted resources should remain part of a shared commons or be governed through an international regime.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Use-rights view: while territory cannot be appropriated, extracting resources is a form of ‘use,’ and ownership of extracted material can be recognized so long as it is consistent with treaty obligations.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Many real-world frameworks try to avoid a binary by emphasizing transparency, deconfliction, and limited safety areas rather than territorial claims.</w:t>
      </w:r>
    </w:p>
    <w:p w:rsidR="00000000" w:rsidDel="00000000" w:rsidP="00000000" w:rsidRDefault="00000000" w:rsidRPr="00000000" w14:paraId="00000043">
      <w:pPr>
        <w:pStyle w:val="Heading2"/>
        <w:rPr/>
      </w:pPr>
      <w:r w:rsidDel="00000000" w:rsidR="00000000" w:rsidRPr="00000000">
        <w:rPr>
          <w:rtl w:val="0"/>
        </w:rPr>
        <w:t xml:space="preserve">5.2 Artemis Accords and norm-building</w:t>
      </w:r>
    </w:p>
    <w:p w:rsidR="00000000" w:rsidDel="00000000" w:rsidP="00000000" w:rsidRDefault="00000000" w:rsidRPr="00000000" w14:paraId="00000044">
      <w:pPr>
        <w:rPr/>
      </w:pPr>
      <w:r w:rsidDel="00000000" w:rsidR="00000000" w:rsidRPr="00000000">
        <w:rPr>
          <w:rtl w:val="0"/>
        </w:rPr>
        <w:t xml:space="preserve">The interview references the Artemis Accords as an example of contemporary norm-setting for civil space exploration, including commitments around transparency, interoperability, deconfliction, and mitigation of harmful interference. Since the time of the interview, the Accords have expanded substantially: as of May 4, 2026, NASA reports 66 signatory nations.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Up-to-date note: As of May 4, 2026, Ireland became the 66th signatory nation to the Artemis Accords (NASA).</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Norm-building: the Accords are non-binding, but repeated practice under shared principles can influence customary expectations over time.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Operational relevance: the Accords discuss deconfliction and safety, which can shape how future disputes about proximity and ‘safety zones’ are framed.</w:t>
      </w:r>
      <w:r w:rsidDel="00000000" w:rsidR="00000000" w:rsidRPr="00000000">
        <w:rPr>
          <w:rtl w:val="0"/>
        </w:rPr>
      </w:r>
    </w:p>
    <w:p w:rsidR="00000000" w:rsidDel="00000000" w:rsidP="00000000" w:rsidRDefault="00000000" w:rsidRPr="00000000" w14:paraId="00000048">
      <w:pPr>
        <w:pStyle w:val="Heading2"/>
        <w:rPr/>
      </w:pPr>
      <w:r w:rsidDel="00000000" w:rsidR="00000000" w:rsidRPr="00000000">
        <w:rPr>
          <w:rtl w:val="0"/>
        </w:rPr>
        <w:t xml:space="preserve">5.3 National space-resource laws</w:t>
      </w:r>
    </w:p>
    <w:p w:rsidR="00000000" w:rsidDel="00000000" w:rsidP="00000000" w:rsidRDefault="00000000" w:rsidRPr="00000000" w14:paraId="00000049">
      <w:pPr>
        <w:rPr/>
      </w:pPr>
      <w:r w:rsidDel="00000000" w:rsidR="00000000" w:rsidRPr="00000000">
        <w:rPr>
          <w:rtl w:val="0"/>
        </w:rPr>
        <w:t xml:space="preserve">Several States have enacted domestic laws intended to authorize resource extraction by private entities and recognize ownership of extracted resources, while framing those rights as consistent with international obligations. These laws are part of the current legal landscape because they affect licensing, financing, and contract structuring for resource projects.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United States: </w:t>
      </w:r>
      <w:r w:rsidDel="00000000" w:rsidR="00000000" w:rsidRPr="00000000">
        <w:rPr>
          <w:rtl w:val="0"/>
        </w:rPr>
        <w:t xml:space="preserve">The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Space Resource Exploration and Utilization Act of 2015 (within the Commercial Space Launch Competitiveness Act) recognizes rights for U.S. citizens to own resources they obtain, subject to U.S. international obligations.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Japan: a 2021 statute provides an authorization system and recognizes ownership of extracted space resources under approved plans (English translation available from Japan’s official law translation service).</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When advising, treat domestic law as necessary but not sufficient: international disputes can still arise if other States view the practice as inconsistent with treaty obligations.</w:t>
      </w:r>
      <w:r w:rsidDel="00000000" w:rsidR="00000000" w:rsidRPr="00000000">
        <w:rPr>
          <w:rtl w:val="0"/>
        </w:rPr>
      </w:r>
    </w:p>
    <w:p w:rsidR="00000000" w:rsidDel="00000000" w:rsidP="00000000" w:rsidRDefault="00000000" w:rsidRPr="00000000" w14:paraId="0000004D">
      <w:pPr>
        <w:pStyle w:val="Heading2"/>
        <w:rPr/>
      </w:pPr>
      <w:r w:rsidDel="00000000" w:rsidR="00000000" w:rsidRPr="00000000">
        <w:rPr>
          <w:rtl w:val="0"/>
        </w:rPr>
        <w:t xml:space="preserve">5.4 Analogy to the law of the sea (UNCLOS and the deep seabed)</w:t>
      </w:r>
    </w:p>
    <w:p w:rsidR="00000000" w:rsidDel="00000000" w:rsidP="00000000" w:rsidRDefault="00000000" w:rsidRPr="00000000" w14:paraId="0000004E">
      <w:pPr>
        <w:rPr/>
      </w:pPr>
      <w:r w:rsidDel="00000000" w:rsidR="00000000" w:rsidRPr="00000000">
        <w:rPr>
          <w:rtl w:val="0"/>
        </w:rPr>
        <w:t xml:space="preserve">The interview draws a parallel to maritime law and the deep seabed regime. UNCLOS applies ‘common heritage of mankind’ concepts to certain seabed resources and established an international authority to manage licensing and benefit-sharing. The space context is not identical, but the analogy helps frame competing visions: laissez-faire extraction under national authorization vs. an international licensing authority.</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this analogy carefully: UNCLOS is a specific treaty regime with defined institutions; outer space currently lacks a comparable global licensing body.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6. Space Tourism and Commercial Human Spaceflight: Legal Categories and Practical Risk Allocation</w:t>
      </w:r>
    </w:p>
    <w:p w:rsidR="00000000" w:rsidDel="00000000" w:rsidP="00000000" w:rsidRDefault="00000000" w:rsidRPr="00000000" w14:paraId="00000052">
      <w:pPr>
        <w:rPr/>
      </w:pPr>
      <w:r w:rsidDel="00000000" w:rsidR="00000000" w:rsidRPr="00000000">
        <w:rPr>
          <w:rtl w:val="0"/>
        </w:rPr>
        <w:t xml:space="preserve">The interview describes space tourism as divided into orbital tourism (longer stays in orbit, historically including trips to the International Space Station) and suborbital tourism (short flights providing minutes of microgravity and Earth views). The legal questions include passenger status, rescue obligations, licensing, and liability.</w:t>
      </w:r>
    </w:p>
    <w:p w:rsidR="00000000" w:rsidDel="00000000" w:rsidP="00000000" w:rsidRDefault="00000000" w:rsidRPr="00000000" w14:paraId="00000053">
      <w:pPr>
        <w:pStyle w:val="Heading2"/>
        <w:rPr/>
      </w:pPr>
      <w:r w:rsidDel="00000000" w:rsidR="00000000" w:rsidRPr="00000000">
        <w:rPr>
          <w:rtl w:val="0"/>
        </w:rPr>
        <w:t xml:space="preserve">6.1 Orbital vs. suborbital tourism</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Orbital tourism: longer-duration orbital missions (historically including private individuals visiting the ISS).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Suborbital tourism: short-duration flights that cross the edge of space and return within hours; the interview describes them as ‘sophisticated bungee jumping’ due to the short microgravity window.</w:t>
      </w:r>
    </w:p>
    <w:p w:rsidR="00000000" w:rsidDel="00000000" w:rsidP="00000000" w:rsidRDefault="00000000" w:rsidRPr="00000000" w14:paraId="00000056">
      <w:pPr>
        <w:pStyle w:val="Heading2"/>
        <w:rPr/>
      </w:pPr>
      <w:r w:rsidDel="00000000" w:rsidR="00000000" w:rsidRPr="00000000">
        <w:rPr>
          <w:rtl w:val="0"/>
        </w:rPr>
        <w:t xml:space="preserve">6.2 Up-to-date industry snapshot</w:t>
      </w:r>
    </w:p>
    <w:p w:rsidR="00000000" w:rsidDel="00000000" w:rsidP="00000000" w:rsidRDefault="00000000" w:rsidRPr="00000000" w14:paraId="00000057">
      <w:pPr>
        <w:rPr/>
      </w:pPr>
      <w:r w:rsidDel="00000000" w:rsidR="00000000" w:rsidRPr="00000000">
        <w:rPr>
          <w:rtl w:val="0"/>
        </w:rPr>
        <w:t xml:space="preserve">Because this field changes quickly, the following notes provide current context while preserving the interview’s basic categories.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Blue Origin: After completing New Shepard’s NS-38 mission on Jan. 22, 2026, Blue Origin announced on Jan. 30, 2026 that it will pause New Shepard flights for no less than two years to focus resources on lunar and orbital capabilities (Blue Origin; Reuters).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Virgin Galactic: Virgin has been developing its next-generation ‘Delta class’ vehicles and has indicated service targets in the 2026–2027 timeframe; reporting in 2026 described the suborbital space tourism market as facing significant operational and financial pressure (Ars Technica; Virgin Galactic).</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NASA/Artemis context: Artemis activity has accelerated public attention on lunar operations. NASA’s Artemis II splashed down successfully on April 10, 2026, and NASA currently describes Artemis III as a 2027 low-Earth-orbit demonstration mission to test rendezvous/docking with commercial landers (NASA).</w:t>
      </w:r>
      <w:r w:rsidDel="00000000" w:rsidR="00000000" w:rsidRPr="00000000">
        <w:rPr>
          <w:rtl w:val="0"/>
        </w:rPr>
      </w:r>
    </w:p>
    <w:p w:rsidR="00000000" w:rsidDel="00000000" w:rsidP="00000000" w:rsidRDefault="00000000" w:rsidRPr="00000000" w14:paraId="0000005B">
      <w:pPr>
        <w:pStyle w:val="Heading2"/>
        <w:rPr/>
      </w:pPr>
      <w:r w:rsidDel="00000000" w:rsidR="00000000" w:rsidRPr="00000000">
        <w:rPr>
          <w:rtl w:val="0"/>
        </w:rPr>
        <w:t xml:space="preserve">6.3 Legal status of tourists and duty to rescue</w:t>
      </w:r>
    </w:p>
    <w:p w:rsidR="00000000" w:rsidDel="00000000" w:rsidP="00000000" w:rsidRDefault="00000000" w:rsidRPr="00000000" w14:paraId="0000005C">
      <w:pPr>
        <w:rPr/>
      </w:pPr>
      <w:r w:rsidDel="00000000" w:rsidR="00000000" w:rsidRPr="00000000">
        <w:rPr>
          <w:rtl w:val="0"/>
        </w:rPr>
        <w:t xml:space="preserve">The interview asks whether treaty obligations to assist ‘astronauts’ extend to tourists. Even where treaty text uses astronaut language, States may treat human spaceflight participants as deserving assistance as a matter of treaty purpose, policy, and emerging practice—especially where human life is at risk.</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Issue-spotting: how does the launching State characterize participants in licenses and international notifications? Is there an agreed category (astronaut vs spaceflight participant) and does it affect obligations or insurance?</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Risk allocation: rescue obligations at the state-to-state level do not resolve private-law questions about who pays; private contracts and insurance often address emergency assistance and liability.</w:t>
      </w:r>
    </w:p>
    <w:p w:rsidR="00000000" w:rsidDel="00000000" w:rsidP="00000000" w:rsidRDefault="00000000" w:rsidRPr="00000000" w14:paraId="0000005F">
      <w:pPr>
        <w:pStyle w:val="Heading2"/>
        <w:rPr/>
      </w:pPr>
      <w:r w:rsidDel="00000000" w:rsidR="00000000" w:rsidRPr="00000000">
        <w:rPr>
          <w:rtl w:val="0"/>
        </w:rPr>
        <w:t xml:space="preserve">6.4 Liability and contract structure for commercial flights</w:t>
      </w:r>
    </w:p>
    <w:p w:rsidR="00000000" w:rsidDel="00000000" w:rsidP="00000000" w:rsidRDefault="00000000" w:rsidRPr="00000000" w14:paraId="00000060">
      <w:pPr>
        <w:rPr/>
      </w:pPr>
      <w:r w:rsidDel="00000000" w:rsidR="00000000" w:rsidRPr="00000000">
        <w:rPr>
          <w:rtl w:val="0"/>
        </w:rPr>
        <w:t xml:space="preserve">The interview links the Liability Convention’s inter-state regime to commercial practice. Commercial operators often use cross-waivers, informed-consent regimes, and insurance structures to allocate risk between operator, customer, and passengers. In some jurisdictions, regulators limit the scope of waivers or impose disclosure obligations.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Counsel checklist: confirm launch/flight authorization, passenger informed-consent compliance, cross-waiver language, insurer requirements, and incident-response reporting obligations.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7. Militarization and Weaponization: What the Treaties Prohibit and What Current Norms Target</w:t>
      </w:r>
    </w:p>
    <w:p w:rsidR="00000000" w:rsidDel="00000000" w:rsidP="00000000" w:rsidRDefault="00000000" w:rsidRPr="00000000" w14:paraId="00000064">
      <w:pPr>
        <w:rPr/>
      </w:pPr>
      <w:r w:rsidDel="00000000" w:rsidR="00000000" w:rsidRPr="00000000">
        <w:rPr>
          <w:rtl w:val="0"/>
        </w:rPr>
        <w:t xml:space="preserve">The interview notes that the OST does not demilitarize space entirely. Many military-support uses (communications, navigation, reconnaissance) exist alongside treaty compliance. The strongest explicit treaty prohibition is on placing nuclear weapons or other WMD in orbit or stationing them in outer space, and on certain military activities on celestial bodies.</w:t>
      </w:r>
    </w:p>
    <w:p w:rsidR="00000000" w:rsidDel="00000000" w:rsidP="00000000" w:rsidRDefault="00000000" w:rsidRPr="00000000" w14:paraId="00000065">
      <w:pPr>
        <w:pStyle w:val="Heading2"/>
        <w:rPr/>
      </w:pPr>
      <w:r w:rsidDel="00000000" w:rsidR="00000000" w:rsidRPr="00000000">
        <w:rPr>
          <w:rtl w:val="0"/>
        </w:rPr>
        <w:t xml:space="preserve">7.1 Treaty baseline: WMD prohibition and ‘peaceful purposes’ on celestial bodies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OST Article IV: prohibits placing nuclear weapons or other weapons of mass destruction in orbit or stationing them in outer space; restricts military bases and maneuvers on celestial bodies.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Practical note: many counterspace concerns (jamming, cyber, non-WMD kinetic actions) are not squarely addressed by Article IV, so norms often develop through state practice and UN processes.</w:t>
      </w:r>
      <w:r w:rsidDel="00000000" w:rsidR="00000000" w:rsidRPr="00000000">
        <w:rPr>
          <w:rtl w:val="0"/>
        </w:rPr>
      </w:r>
    </w:p>
    <w:p w:rsidR="00000000" w:rsidDel="00000000" w:rsidP="00000000" w:rsidRDefault="00000000" w:rsidRPr="00000000" w14:paraId="00000068">
      <w:pPr>
        <w:pStyle w:val="Heading2"/>
        <w:rPr/>
      </w:pPr>
      <w:r w:rsidDel="00000000" w:rsidR="00000000" w:rsidRPr="00000000">
        <w:rPr>
          <w:rtl w:val="0"/>
        </w:rPr>
        <w:t xml:space="preserve">7.2 Up-to-date norms: destructive ASAT testing and debris risk</w:t>
      </w:r>
    </w:p>
    <w:p w:rsidR="00000000" w:rsidDel="00000000" w:rsidP="00000000" w:rsidRDefault="00000000" w:rsidRPr="00000000" w14:paraId="00000069">
      <w:pPr>
        <w:rPr/>
      </w:pPr>
      <w:r w:rsidDel="00000000" w:rsidR="00000000" w:rsidRPr="00000000">
        <w:rPr>
          <w:rtl w:val="0"/>
        </w:rPr>
        <w:t xml:space="preserve">A major contemporary focus is debris: destructive anti-satellite (ASAT) tests can create long-lived debris that threatens all operators. In 2022, the UN General Assembly adopted a resolution on destructive direct-ascent ASAT missile testing. Separate from treaty prohibitions, voluntary commitments have grown; a 2023 Secure World Foundation statement noted 37 countries had committed not to conduct destructive direct-ascent ASAT tests as of October 2023.</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UNGA resolution: A/RES/77/41 addresses destructive direct-ascent ASAT missile testing (UN Digital Library record).</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Industry/civil norms: Secure World Foundation reported 37 countries committed to a moratorium as of Oct. 20, 2023 (SWF).</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Debris mitigation: UNOOSA published updated IADC Space Debris Mitigation Guidelines material in 2025, including sections addressing large constellations (UNOOSA).</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1"/>
        <w:rPr/>
      </w:pPr>
      <w:r w:rsidDel="00000000" w:rsidR="00000000" w:rsidRPr="00000000">
        <w:rPr>
          <w:rtl w:val="0"/>
        </w:rPr>
        <w:t xml:space="preserve">8. Practical Checklists</w:t>
      </w:r>
    </w:p>
    <w:p w:rsidR="00000000" w:rsidDel="00000000" w:rsidP="00000000" w:rsidRDefault="00000000" w:rsidRPr="00000000" w14:paraId="0000006F">
      <w:pPr>
        <w:pStyle w:val="Heading2"/>
        <w:rPr/>
      </w:pPr>
      <w:r w:rsidDel="00000000" w:rsidR="00000000" w:rsidRPr="00000000">
        <w:rPr>
          <w:rtl w:val="0"/>
        </w:rPr>
        <w:t xml:space="preserve">8.1 Counseling a commercial lunar operator (resource extraction or infrastructure)</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Treaty framing: how will the project avoid territorial sovereignty claims while still protecting safety and operations (due regard; deconfliction; reasonable safety precautions)?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Domestic authorization: identify the licensing authority, supervision obligations, and any resource-ownership recognition rules in the home jurisdiction.</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International posture: anticipate how other States may react (acceptance vs objection) and how that could affect customary-norm arguments.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Operational transparency: plan communications that distinguish ‘safety’ from ‘exclusion’ and explain scope/duration of any safety areas.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Liability and insurance: model potential third-party damage and launching-state liability exposure; ensure insurance and cross-waivers match the risk profile.</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Dispute readiness: preserve telemetry and operational records to support causation and ‘harmful interference’ narratives if a dispute arises.</w:t>
      </w:r>
    </w:p>
    <w:p w:rsidR="00000000" w:rsidDel="00000000" w:rsidP="00000000" w:rsidRDefault="00000000" w:rsidRPr="00000000" w14:paraId="00000076">
      <w:pPr>
        <w:pStyle w:val="Heading2"/>
        <w:rPr/>
      </w:pPr>
      <w:r w:rsidDel="00000000" w:rsidR="00000000" w:rsidRPr="00000000">
        <w:rPr>
          <w:rtl w:val="0"/>
        </w:rPr>
        <w:t xml:space="preserve">8.2 Counseling a space tourism operator</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Regulatory category: suborbital vs orbital; licensing pathway; any human spaceflight participant informed-consent rules.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Contract package: passenger waivers, medical disclosures, training requirements, and emergency procedures; clarity on what is and is not guaranteed.</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Rescue/emergency planning: coordinate with relevant national authorities; understand how Rescue Agreement obligations are operationalized domestically.</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Liability stack: launching-state liability (international), operator liability (private law), and insurance backstops; confirm cross-waiver enforceability in relevant jurisdictions.</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Incident response: reporting obligations to regulators and insurers; preservation of evidence; crisis communications that avoid overstatement.</w:t>
      </w:r>
      <w:r w:rsidDel="00000000" w:rsidR="00000000" w:rsidRPr="00000000">
        <w:rPr>
          <w:rtl w:val="0"/>
        </w:rPr>
      </w:r>
    </w:p>
    <w:p w:rsidR="00000000" w:rsidDel="00000000" w:rsidP="00000000" w:rsidRDefault="00000000" w:rsidRPr="00000000" w14:paraId="0000007C">
      <w:pPr>
        <w:pStyle w:val="Heading2"/>
        <w:rPr/>
      </w:pPr>
      <w:r w:rsidDel="00000000" w:rsidR="00000000" w:rsidRPr="00000000">
        <w:rPr>
          <w:rtl w:val="0"/>
        </w:rPr>
        <w:t xml:space="preserve">8.3 Negotiating a “safety zone” protocol (practical drafting checklist)</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purpose: safety and deconfliction (not ownership).</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scope: minimum area necessary; time-limited; tied to specific operations.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transparency: notice mechanism, coordinates, and operating windows; procedure for consultation/objection by others.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dispute mechanism: contact points; escalation ladder; data-sharing for close approaches.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environmental constraints: debris mitigation, contamination prevention (especially for sensitive lunar regions), and end-of-operations cleanup.</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review: periodic reassessment and sunset; commitment to revise if it unreasonably impedes others’ access.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1"/>
        <w:rPr/>
      </w:pPr>
      <w:r w:rsidDel="00000000" w:rsidR="00000000" w:rsidRPr="00000000">
        <w:rPr>
          <w:rtl w:val="0"/>
        </w:rPr>
        <w:t xml:space="preserve">9. Discussion Hypotheticals</w:t>
      </w:r>
    </w:p>
    <w:p w:rsidR="00000000" w:rsidDel="00000000" w:rsidP="00000000" w:rsidRDefault="00000000" w:rsidRPr="00000000" w14:paraId="00000085">
      <w:pPr>
        <w:pStyle w:val="Heading2"/>
        <w:rPr/>
      </w:pPr>
      <w:r w:rsidDel="00000000" w:rsidR="00000000" w:rsidRPr="00000000">
        <w:rPr>
          <w:rtl w:val="0"/>
        </w:rPr>
        <w:t xml:space="preserve">9.1 Lunar water extraction and deconfliction</w:t>
      </w:r>
    </w:p>
    <w:p w:rsidR="00000000" w:rsidDel="00000000" w:rsidP="00000000" w:rsidRDefault="00000000" w:rsidRPr="00000000" w14:paraId="00000086">
      <w:pPr>
        <w:rPr/>
      </w:pPr>
      <w:r w:rsidDel="00000000" w:rsidR="00000000" w:rsidRPr="00000000">
        <w:rPr>
          <w:rtl w:val="0"/>
        </w:rPr>
        <w:t xml:space="preserve">A private company licensed by State A plans to extract water ice near a permanently shadowed lunar crater. It proposes a 2 km operational safety perimeter for one year. State B objects that the perimeter is de facto appropriation.</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Which OST principles apply (non-appropriation, free access, due regard, harmful interference)?</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facts matter most to whether the zone is ‘reasonable’ (purpose, scope, duration, operational necessity, transparency)?</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might Artemis Accords-style deconfliction principles influence arguments even if non-binding?</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narrower measures could achieve safety without creating a broad exclusion (time windows, approach corridors, smaller radius)?</w:t>
      </w:r>
      <w:r w:rsidDel="00000000" w:rsidR="00000000" w:rsidRPr="00000000">
        <w:rPr>
          <w:rtl w:val="0"/>
        </w:rPr>
      </w:r>
    </w:p>
    <w:p w:rsidR="00000000" w:rsidDel="00000000" w:rsidP="00000000" w:rsidRDefault="00000000" w:rsidRPr="00000000" w14:paraId="0000008B">
      <w:pPr>
        <w:pStyle w:val="Heading2"/>
        <w:rPr/>
      </w:pPr>
      <w:r w:rsidDel="00000000" w:rsidR="00000000" w:rsidRPr="00000000">
        <w:rPr>
          <w:rtl w:val="0"/>
        </w:rPr>
        <w:t xml:space="preserve">9.2 Suborbital accident and cross-border rescue</w:t>
      </w:r>
    </w:p>
    <w:p w:rsidR="00000000" w:rsidDel="00000000" w:rsidP="00000000" w:rsidRDefault="00000000" w:rsidRPr="00000000" w14:paraId="0000008C">
      <w:pPr>
        <w:rPr/>
      </w:pPr>
      <w:r w:rsidDel="00000000" w:rsidR="00000000" w:rsidRPr="00000000">
        <w:rPr>
          <w:rtl w:val="0"/>
        </w:rPr>
        <w:t xml:space="preserve">A suborbital tourist vehicle launched from State C experiences an emergency landing in State D’s territory. Passengers include nationals of States E and F.</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obligations arise under OST Article V and the Rescue Agreement for assistance and return?</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are costs allocated between States and the operator (treaty duties vs private contracts/insurance)?</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documentation should counsel preserve for later liability and investigation?</w:t>
      </w:r>
      <w:r w:rsidDel="00000000" w:rsidR="00000000" w:rsidRPr="00000000">
        <w:rPr>
          <w:rtl w:val="0"/>
        </w:rPr>
      </w:r>
    </w:p>
    <w:p w:rsidR="00000000" w:rsidDel="00000000" w:rsidP="00000000" w:rsidRDefault="00000000" w:rsidRPr="00000000" w14:paraId="00000090">
      <w:pPr>
        <w:pStyle w:val="Heading2"/>
        <w:rPr/>
      </w:pPr>
      <w:r w:rsidDel="00000000" w:rsidR="00000000" w:rsidRPr="00000000">
        <w:rPr>
          <w:rtl w:val="0"/>
        </w:rPr>
        <w:t xml:space="preserve">9.3 Debris-generating ASAT event and commercial impacts</w:t>
      </w:r>
    </w:p>
    <w:p w:rsidR="00000000" w:rsidDel="00000000" w:rsidP="00000000" w:rsidRDefault="00000000" w:rsidRPr="00000000" w14:paraId="00000091">
      <w:pPr>
        <w:rPr/>
      </w:pPr>
      <w:r w:rsidDel="00000000" w:rsidR="00000000" w:rsidRPr="00000000">
        <w:rPr>
          <w:rtl w:val="0"/>
        </w:rPr>
        <w:t xml:space="preserve">A destructive test creates debris that later damages a commercial satellite owned by an operator in State G. State G considers a claim against the launching State.</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treaty and convention framework applies (OST liability principles; Liability Convention claims process)?</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evidence is required to prove causation and damage, and how should operators preserve it?</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do current norms and UN resolutions about destructive ASAT testing affect diplomatic posture even if not legally binding in the same way as treaties?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1"/>
        <w:rPr/>
      </w:pPr>
      <w:r w:rsidDel="00000000" w:rsidR="00000000" w:rsidRPr="00000000">
        <w:rPr>
          <w:rtl w:val="0"/>
        </w:rPr>
        <w:t xml:space="preserve">10. Resources</w:t>
      </w:r>
    </w:p>
    <w:p w:rsidR="00000000" w:rsidDel="00000000" w:rsidP="00000000" w:rsidRDefault="00000000" w:rsidRPr="00000000" w14:paraId="00000097">
      <w:pPr>
        <w:rPr/>
      </w:pPr>
      <w:r w:rsidDel="00000000" w:rsidR="00000000" w:rsidRPr="00000000">
        <w:rPr>
          <w:rtl w:val="0"/>
        </w:rPr>
        <w:t xml:space="preserve">The following links preserve the original resources provided in the sample written materials. Additional current sources are included to reflect developments discussed in the interview (Artemis Accords growth, recent Artemis missions, and recent ASAT/debris norm-building).</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Outer Space Treaty (UNOOSA): https://unoosa.org/oosa/en/ourwork/spacelaw/treaties/outerspacetreaty.html</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Moon Agreement (UNOOSA): https://www.unoosa.org/oosa/en/ourwork/spacelaw/treaties/moon-agreement.html</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Rescue Agreement (UNOOSA): https://www.unoosa.org/oosa/en/ourwork/spacelaw/treaties/rescueagreement.html</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Liability Convention (text PDF via UNOOSA/UN): http://www.unoosa.org/pdf/gares/ARES_26_2777E.pdf</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UNCLOS (UN text): https://www.un.org/Depts/los/convention_agreements/texts/unclos/unclos_e.pdf</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Artemis Accords signatories and principles (NASA, updated May 4, 2026): https://www.nasa.gov/artemis-accords/</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NASA press release on Artemis II return (Apr. 10, 2026): https://www.nasa.gov/news-release/nasa-welcomes-record-setting-artemis-ii-moonfarers-back-to-earth/</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Artemis III mission page (NASA): https://www.nasa.gov/mission/artemis-iii/</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 Space Resource Exploration and Utilization Act of 2015 (official text via GovInfo): https://www.govinfo.gov/content/pkg/PLAW-114publ90/html/PLAW-114publ90.htm</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Japan Act on the Promotion of Business Activities for Exploring and Developing Space Resources (English translation): https://www.japaneselawtranslation.go.jp/en/laws/view/4816/en</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UNGA resolution record on destructive direct-ascent ASAT missile testing (UN Digital Library): https://digitallibrary.un.org/record/3997622</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IADC Space Debris Mitigation Guidelines update (UNOOSA, 2025): https://www.unoosa.org/res/oosadoc/data/documents/2025/aac_105c_12025crp/aac_105c_12025crp_9_0_html/AC105_C1_2025_CRP09E.pdf</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Blue Origin announcement pausing New Shepard flights (Jan. 30, 2026): https://www.blueorigin.com/news/new-shepard-to-pause-flights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zFxVzyZgFtqvM4VKFv9PdGvdg==">CgMxLjA4AHIhMXVQV0dRbV9rQ0hpRjFoOTZpUm0zMlJTeGZnZU9FeTkz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