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A Race to the 2nd Amendment</w:t>
      </w:r>
    </w:p>
    <w:p>
      <w:pPr>
        <w:spacing w:after="200"/>
      </w:pPr>
      <w:r>
        <w:rPr>
          <w:rFonts w:ascii="Montserrat" w:cs="Montserrat" w:eastAsia="Montserrat" w:hAnsi="Montserrat"/>
          <w:b/>
          <w:bCs/>
          <w:color w:val="E87722"/>
          <w:sz w:val="24"/>
          <w:szCs w:val="24"/>
        </w:rPr>
        <w:t>Prof. Darrell A. H. Miller, Harry N. Wyatt Professor of Law, University of Chicago Law School</w:t>
      </w:r>
    </w:p>
    <w:p>
      <w:pPr>
        <w:pStyle w:val="Heading2"/>
        <w:spacing w:after="120" w:before="240"/>
      </w:pPr>
      <w:r>
        <w:rPr>
          <w:b/>
          <w:bCs/>
        </w:rPr>
        <w:t>Overview</w:t>
      </w:r>
    </w:p>
    <w:p>
      <w:pPr>
        <w:spacing w:after="160"/>
      </w:pPr>
      <w:r>
        <w:t>This program examines the relationship between race, gun regulation, and the Second Amendment. Professor Darrell A. H. Miller, recorded in 2024 while at Duke Law School, distinguishes between explicitly racist gun laws, facially neutral laws applied in a discriminatory manner, and neutral laws prompted by racial anxieties; explains the scholarly debate over the Second Amendment's connection to slavery through the militia; and discusses District of Columbia v. Heller and the history of armed private groups. He cautions against overreading history to condemn all regulation or to defend all gun rights. Updates cover the Supreme Court's later decisions applying the Bruen history-and-tradition test.</w:t>
      </w:r>
    </w:p>
    <w:p>
      <w:pPr>
        <w:pStyle w:val="Heading2"/>
        <w:spacing w:after="120" w:before="240"/>
      </w:pPr>
      <w:r>
        <w:rPr>
          <w:b/>
          <w:bCs/>
        </w:rPr>
        <w:t>Learning Objectives</w:t>
      </w:r>
    </w:p>
    <w:p>
      <w:pPr>
        <w:pStyle w:val="ListParagraph"/>
        <w:numPr>
          <w:ilvl w:val="0"/>
          <w:numId w:val="1"/>
        </w:numPr>
        <w:spacing w:after="80"/>
      </w:pPr>
      <w:r>
        <w:t>Distinguish facially discriminatory gun laws, facially neutral laws applied in a discriminatory manner, and neutral laws enacted in response to racial anxieties.</w:t>
      </w:r>
    </w:p>
    <w:p>
      <w:pPr>
        <w:pStyle w:val="ListParagraph"/>
        <w:numPr>
          <w:ilvl w:val="0"/>
          <w:numId w:val="1"/>
        </w:numPr>
        <w:spacing w:after="80"/>
      </w:pPr>
      <w:r>
        <w:t>Explain the scholarly argument connecting the Second Amendment's militia clause to slave patrols and the suppression of slave insurrections, and its limits.</w:t>
      </w:r>
    </w:p>
    <w:p>
      <w:pPr>
        <w:pStyle w:val="ListParagraph"/>
        <w:numPr>
          <w:ilvl w:val="0"/>
          <w:numId w:val="1"/>
        </w:numPr>
        <w:spacing w:after="80"/>
      </w:pPr>
      <w:r>
        <w:t>Describe how District of Columbia v. Heller separated the militia clause from the individual right to keep and bear arms.</w:t>
      </w:r>
    </w:p>
    <w:p>
      <w:pPr>
        <w:pStyle w:val="ListParagraph"/>
        <w:numPr>
          <w:ilvl w:val="0"/>
          <w:numId w:val="1"/>
        </w:numPr>
        <w:spacing w:after="80"/>
      </w:pPr>
      <w:r>
        <w:t>Evaluate the role that racially discriminatory historical laws play, or should play, under the Bruen history-and-tradition framework.</w:t>
      </w:r>
    </w:p>
    <w:p>
      <w:pPr>
        <w:pStyle w:val="ListParagraph"/>
        <w:numPr>
          <w:ilvl w:val="0"/>
          <w:numId w:val="1"/>
        </w:numPr>
        <w:spacing w:after="80"/>
      </w:pPr>
      <w:r>
        <w:t>Assess the competing disparate impacts of gun regulation and of gun violence on communities of color.</w:t>
      </w:r>
    </w:p>
    <w:p>
      <w:pPr>
        <w:pStyle w:val="Heading2"/>
        <w:spacing w:after="120" w:before="240"/>
      </w:pPr>
      <w:r>
        <w:rPr>
          <w:b/>
          <w:bCs/>
        </w:rPr>
        <w:t>Race and Gun Regulation</w:t>
      </w:r>
    </w:p>
    <w:p>
      <w:pPr>
        <w:pStyle w:val="ListParagraph"/>
        <w:numPr>
          <w:ilvl w:val="0"/>
          <w:numId w:val="1"/>
        </w:numPr>
        <w:spacing w:after="80"/>
      </w:pPr>
      <w:r>
        <w:t>Facially discriminatory laws. Before the Civil War, many colonies and states barred enslaved and free Black people from possessing firearms or required special licenses. After emancipation, Southern Black Codes (1865-1866) restricted freed people's access to firearms while also imposing discriminatory licensing requirements on skilled trades and occupations.</w:t>
      </w:r>
    </w:p>
    <w:p>
      <w:pPr>
        <w:pStyle w:val="ListParagraph"/>
        <w:numPr>
          <w:ilvl w:val="0"/>
          <w:numId w:val="1"/>
        </w:numPr>
        <w:spacing w:after="80"/>
      </w:pPr>
      <w:r>
        <w:t>Discretionary enforcement. Facially neutral licensing laws could be administered with unfettered discretion in a discriminatory manner. Miller argues that this history counsels attention to inequitable application rather than a conclusion that licensing as a concept is discriminatory.</w:t>
      </w:r>
    </w:p>
    <w:p>
      <w:pPr>
        <w:pStyle w:val="ListParagraph"/>
        <w:numPr>
          <w:ilvl w:val="0"/>
          <w:numId w:val="1"/>
        </w:numPr>
        <w:spacing w:after="80"/>
      </w:pPr>
      <w:r>
        <w:t>Mulford Act (California, 1967). Signed by Governor Ronald Reagan, the act prohibited carrying loaded firearms in public. It followed armed "cop watching" by the Black Panther Party in Oakland, but its terms were race-neutral, and Miller cautions against attributing a single motive to a multi-member legislature.</w:t>
      </w:r>
    </w:p>
    <w:p>
      <w:pPr>
        <w:pStyle w:val="ListParagraph"/>
        <w:numPr>
          <w:ilvl w:val="0"/>
          <w:numId w:val="1"/>
        </w:numPr>
        <w:spacing w:after="80"/>
      </w:pPr>
      <w:r>
        <w:t>"Scratch the surface." Miller observes that almost any category of American regulation has some history of racially inequitable intent or effect, so history alone cannot determine whether a modern regulation is legitimate.</w:t>
      </w:r>
    </w:p>
    <w:p>
      <w:pPr>
        <w:pStyle w:val="ListParagraph"/>
        <w:numPr>
          <w:ilvl w:val="0"/>
          <w:numId w:val="1"/>
        </w:numPr>
        <w:spacing w:after="80"/>
      </w:pPr>
      <w:r>
        <w:t>Disparate impact in every direction. Gun regulations may impose disparate burdens, particularly through costs, training requirements, and enforcement, but gun violence also falls disproportionately on Black Americans: young Black men are about 20 times more likely than comparable young white men to die from gun violence.</w:t>
      </w:r>
    </w:p>
    <w:p>
      <w:pPr>
        <w:pStyle w:val="Heading2"/>
        <w:spacing w:after="120" w:before="240"/>
      </w:pPr>
      <w:r>
        <w:rPr>
          <w:b/>
          <w:bCs/>
        </w:rPr>
        <w:t>The Second Amendment, the Militia, and Slavery</w:t>
      </w:r>
    </w:p>
    <w:p>
      <w:pPr>
        <w:pStyle w:val="ListParagraph"/>
        <w:numPr>
          <w:ilvl w:val="0"/>
          <w:numId w:val="1"/>
        </w:numPr>
        <w:spacing w:after="80"/>
      </w:pPr>
      <w:r>
        <w:t>Northern and Southern militias. In the North, the militia functioned as a civic force against invasion and insurrection, as in the suppression of Shays' Rebellion (1786-1787). In much of the South, by 1791 the militia had merged with the slave patrol, and the insurrections feared were uprisings by enslaved people.</w:t>
      </w:r>
    </w:p>
    <w:p>
      <w:pPr>
        <w:pStyle w:val="ListParagraph"/>
        <w:numPr>
          <w:ilvl w:val="0"/>
          <w:numId w:val="1"/>
        </w:numPr>
        <w:spacing w:after="80"/>
      </w:pPr>
      <w:r>
        <w:t>Evidence. Patrick Henry, at Virginia's ratifying convention, expressed concern about the militia's availability to suppress slave insurrections. Scholars draw inferences from such statements and from militia practice rather than from any direct statement that the Second Amendment was adopted to protect slavery.</w:t>
      </w:r>
    </w:p>
    <w:p>
      <w:pPr>
        <w:pStyle w:val="ListParagraph"/>
        <w:numPr>
          <w:ilvl w:val="0"/>
          <w:numId w:val="1"/>
        </w:numPr>
        <w:spacing w:after="80"/>
      </w:pPr>
      <w:r>
        <w:t>Multiple motives. Ratifiers may have been motivated by concerns about populist uprisings, foreign invasion, federal tyranny, or slave insurrections. Miller cautions that it is reductive to assign a single purpose.</w:t>
      </w:r>
    </w:p>
    <w:p>
      <w:pPr>
        <w:pStyle w:val="ListParagraph"/>
        <w:numPr>
          <w:ilvl w:val="0"/>
          <w:numId w:val="1"/>
        </w:numPr>
        <w:spacing w:after="80"/>
      </w:pPr>
      <w:r>
        <w:t>The liberation irony. Enslaved people, who had the strongest claim to use arms to overthrow oppression, were excluded from the founding-era narrative of armed resistance to tyranny.</w:t>
      </w:r>
    </w:p>
    <w:p>
      <w:pPr>
        <w:pStyle w:val="Heading2"/>
        <w:spacing w:after="120" w:before="240"/>
      </w:pPr>
      <w:r>
        <w:rPr>
          <w:b/>
          <w:bCs/>
        </w:rPr>
        <w:t>Militias, Heller, and Private Armed Groups</w:t>
      </w:r>
    </w:p>
    <w:p>
      <w:pPr>
        <w:pStyle w:val="ListParagraph"/>
        <w:numPr>
          <w:ilvl w:val="0"/>
          <w:numId w:val="1"/>
        </w:numPr>
        <w:spacing w:after="80"/>
      </w:pPr>
      <w:r>
        <w:t>District of Columbia v. Heller, 554 U.S. 570 (2008). Justice Scalia's majority opinion recognized an individual right to keep and bear arms, treating the militia clause as a prefatory statement of purpose. The opinion distinguished the organized militia from the broader body of the people capable of bearing arms.</w:t>
      </w:r>
    </w:p>
    <w:p>
      <w:pPr>
        <w:pStyle w:val="ListParagraph"/>
        <w:numPr>
          <w:ilvl w:val="0"/>
          <w:numId w:val="1"/>
        </w:numPr>
        <w:spacing w:after="80"/>
      </w:pPr>
      <w:r>
        <w:t>McDonald v. City of Chicago, 561 U.S. 742 (2010), applied the Second Amendment to the states.</w:t>
      </w:r>
    </w:p>
    <w:p>
      <w:pPr>
        <w:pStyle w:val="ListParagraph"/>
        <w:numPr>
          <w:ilvl w:val="0"/>
          <w:numId w:val="1"/>
        </w:numPr>
        <w:spacing w:after="80"/>
      </w:pPr>
      <w:r>
        <w:t>Private armed groups. During Reconstruction, Ku Klux Klan members prosecuted for terrorism in South Carolina in the early 1870s claimed to be acting as a community self-defense force. Miller notes that self-designated armed groups have a troubled history in American life.</w:t>
      </w:r>
    </w:p>
    <w:p>
      <w:pPr>
        <w:pStyle w:val="ListParagraph"/>
        <w:numPr>
          <w:ilvl w:val="0"/>
          <w:numId w:val="1"/>
        </w:numPr>
        <w:spacing w:after="80"/>
      </w:pPr>
      <w:r>
        <w:t>Anti-tyranny rationale. Miller argues that the idea of the Second Amendment as a check on tyranny has more political than legally enforceable content, because courts cannot practically determine what private military capacity would be needed to resist a modern standing army.</w:t>
      </w:r>
    </w:p>
    <w:p>
      <w:pPr>
        <w:pStyle w:val="Heading2"/>
        <w:spacing w:after="120" w:before="240"/>
      </w:pPr>
      <w:r>
        <w:rPr>
          <w:b/>
          <w:bCs/>
        </w:rPr>
        <w:t>Modern Implications</w:t>
      </w:r>
    </w:p>
    <w:p>
      <w:pPr>
        <w:pStyle w:val="ListParagraph"/>
        <w:numPr>
          <w:ilvl w:val="0"/>
          <w:numId w:val="1"/>
        </w:numPr>
        <w:spacing w:after="80"/>
      </w:pPr>
      <w:r>
        <w:t>Miller concludes that racist history should be understood and contextualized but not overread, either to condemn all regulation or to defend all gun rights, and that good policy weighs the costs of regulating and the costs of not regulating.</w:t>
      </w:r>
    </w:p>
    <w:p>
      <w:pPr>
        <w:pStyle w:val="Heading2"/>
        <w:spacing w:after="120" w:before="240"/>
      </w:pPr>
      <w:r>
        <w:rPr>
          <w:b/>
          <w:bCs/>
        </w:rPr>
        <w:t>Developments to Know</w:t>
      </w:r>
    </w:p>
    <w:p>
      <w:pPr>
        <w:pStyle w:val="ListParagraph"/>
        <w:numPr>
          <w:ilvl w:val="0"/>
          <w:numId w:val="1"/>
        </w:numPr>
        <w:spacing w:after="80"/>
      </w:pPr>
      <w:r>
        <w:t>New York State Rifle &amp; Pistol Association v. Bruen, 597 U.S. 1 (2022), requires firearm regulations to be consistent with the nation's historical tradition. Courts applying Bruen must decide which historical laws may serve as analogues, including how to treat laws that disarmed people by race.</w:t>
      </w:r>
    </w:p>
    <w:p>
      <w:pPr>
        <w:pStyle w:val="ListParagraph"/>
        <w:numPr>
          <w:ilvl w:val="0"/>
          <w:numId w:val="1"/>
        </w:numPr>
        <w:spacing w:after="80"/>
      </w:pPr>
      <w:r>
        <w:t>United States v. Rahimi, 602 U.S. 680 (2024). The Court upheld 18 U.S.C. § 922(g)(8) and explained that modern laws need only be consistent with the principles underlying the regulatory tradition, not identical to a historical law.</w:t>
      </w:r>
    </w:p>
    <w:p>
      <w:pPr>
        <w:pStyle w:val="ListParagraph"/>
        <w:numPr>
          <w:ilvl w:val="0"/>
          <w:numId w:val="1"/>
        </w:numPr>
        <w:spacing w:after="80"/>
      </w:pPr>
      <w:r>
        <w:t>United States v. Hemani (2026). The Court held that the federal ban on firearm possession by unlawful drug users could not be applied based solely on occasional marijuana use.</w:t>
      </w:r>
    </w:p>
    <w:p>
      <w:pPr>
        <w:pStyle w:val="ListParagraph"/>
        <w:numPr>
          <w:ilvl w:val="0"/>
          <w:numId w:val="1"/>
        </w:numPr>
        <w:spacing w:after="80"/>
      </w:pPr>
      <w:r>
        <w:t>Wolford v. Lopez (2026). The Court held, 6-3, that Hawaii's rule barring licensed carry on private property open to the public absent the owner's express permission violates the Second Amendment.</w:t>
      </w:r>
    </w:p>
    <w:p>
      <w:pPr>
        <w:pStyle w:val="ListParagraph"/>
        <w:numPr>
          <w:ilvl w:val="0"/>
          <w:numId w:val="1"/>
        </w:numPr>
        <w:spacing w:after="80"/>
      </w:pPr>
      <w:r>
        <w:t>Professor Miller joined the University of Chicago Law School in 2024.</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TalksOnLaw</dc:creator>
  <cp:lastModifiedBy>Un-named</cp:lastModifiedBy>
  <cp:revision>1</cp:revision>
  <dcterms:created xsi:type="dcterms:W3CDTF">2026-09-28T18:13:13.289Z</dcterms:created>
  <dcterms:modified xsi:type="dcterms:W3CDTF">2026-09-28T18:13:13.289Z</dcterms:modified>
  <dc:title>WV v. EPA and the Major Questions Doctrine</dc:title>
</cp:coreProperties>
</file>

<file path=docProps/custom.xml><?xml version="1.0" encoding="utf-8"?>
<Properties xmlns="http://schemas.openxmlformats.org/officeDocument/2006/custom-properties" xmlns:vt="http://schemas.openxmlformats.org/officeDocument/2006/docPropsVTypes"/>
</file>