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Red Flag Laws &amp; Domestic Violence Orders</w:t>
      </w:r>
    </w:p>
    <w:p>
      <w:pPr>
        <w:spacing w:after="200"/>
      </w:pPr>
      <w:r>
        <w:rPr>
          <w:rFonts w:ascii="Montserrat" w:cs="Montserrat" w:eastAsia="Montserrat" w:hAnsi="Montserrat"/>
          <w:b/>
          <w:bCs/>
          <w:color w:val="E87722"/>
          <w:sz w:val="24"/>
          <w:szCs w:val="24"/>
        </w:rPr>
        <w:t>Prof. Jody Madeira, Indiana University Maurer School of Law</w:t>
      </w:r>
    </w:p>
    <w:p>
      <w:pPr>
        <w:pStyle w:val="Heading2"/>
        <w:spacing w:after="120" w:before="240"/>
      </w:pPr>
      <w:r>
        <w:rPr>
          <w:b/>
          <w:bCs/>
        </w:rPr>
        <w:t>Overview</w:t>
      </w:r>
    </w:p>
    <w:p>
      <w:pPr>
        <w:spacing w:after="160"/>
      </w:pPr>
      <w:r>
        <w:t>This program examines two kinds of laws that temporarily or indefinitely bar dangerous individuals from possessing firearms: state red flag laws, or extreme risk protection orders (ERPOs), and federal and state laws disarming people subject to domestic violence restraining orders or convicted of domestic violence misdemeanors. Professor Jody Madeira explains how these laws operate, the due process protections they include, the evidence on their effectiveness, and the constitutional challenges they face under New York State Rifle &amp; Pistol Association v. Bruen. The program was recorded in spring 2024, while United States v. Rahimi was pending; updates cover the Rahimi decision and later developments.</w:t>
      </w:r>
    </w:p>
    <w:p>
      <w:pPr>
        <w:pStyle w:val="Heading2"/>
        <w:spacing w:after="120" w:before="240"/>
      </w:pPr>
      <w:r>
        <w:rPr>
          <w:b/>
          <w:bCs/>
        </w:rPr>
        <w:t>Learning Objectives</w:t>
      </w:r>
    </w:p>
    <w:p>
      <w:pPr>
        <w:pStyle w:val="ListParagraph"/>
        <w:numPr>
          <w:ilvl w:val="0"/>
          <w:numId w:val="1"/>
        </w:numPr>
        <w:spacing w:after="80"/>
      </w:pPr>
      <w:r>
        <w:t>Describe how state ERPO laws differ in who may petition, the evidentiary standard, ex parte procedures, duration, and the return of firearms.</w:t>
      </w:r>
    </w:p>
    <w:p>
      <w:pPr>
        <w:pStyle w:val="ListParagraph"/>
        <w:numPr>
          <w:ilvl w:val="0"/>
          <w:numId w:val="1"/>
        </w:numPr>
        <w:spacing w:after="80"/>
      </w:pPr>
      <w:r>
        <w:t>Identify the due process protections built into ERPO and domestic violence protective order procedures.</w:t>
      </w:r>
    </w:p>
    <w:p>
      <w:pPr>
        <w:pStyle w:val="ListParagraph"/>
        <w:numPr>
          <w:ilvl w:val="0"/>
          <w:numId w:val="1"/>
        </w:numPr>
        <w:spacing w:after="80"/>
      </w:pPr>
      <w:r>
        <w:t>Explain the federal firearm prohibitions in 18 U.S.C. § 922(g)(8) and (g)(9), including the 2022 amendments addressing dating relationships.</w:t>
      </w:r>
    </w:p>
    <w:p>
      <w:pPr>
        <w:pStyle w:val="ListParagraph"/>
        <w:numPr>
          <w:ilvl w:val="0"/>
          <w:numId w:val="1"/>
        </w:numPr>
        <w:spacing w:after="80"/>
      </w:pPr>
      <w:r>
        <w:t>Apply the Bruen and Rahimi framework to challenges to ERPO laws and domestic violence firearm prohibitions.</w:t>
      </w:r>
    </w:p>
    <w:p>
      <w:pPr>
        <w:pStyle w:val="ListParagraph"/>
        <w:numPr>
          <w:ilvl w:val="0"/>
          <w:numId w:val="1"/>
        </w:numPr>
        <w:spacing w:after="80"/>
      </w:pPr>
      <w:r>
        <w:t>Evaluate empirical evidence on the effectiveness of ERPOs in preventing suicide and interpersonal gun violence.</w:t>
      </w:r>
    </w:p>
    <w:p>
      <w:pPr>
        <w:pStyle w:val="Heading2"/>
        <w:spacing w:after="120" w:before="240"/>
      </w:pPr>
      <w:r>
        <w:rPr>
          <w:b/>
          <w:bCs/>
        </w:rPr>
        <w:t>Red Flag Laws: Structure and Procedure</w:t>
      </w:r>
    </w:p>
    <w:p>
      <w:pPr>
        <w:pStyle w:val="ListParagraph"/>
        <w:numPr>
          <w:ilvl w:val="0"/>
          <w:numId w:val="1"/>
        </w:numPr>
        <w:spacing w:after="80"/>
      </w:pPr>
      <w:r>
        <w:t>Nature of the orders. ERPOs (also called extreme risk orders, substantial risk orders in Virginia, and risk warrants in Connecticut) are civil, not criminal, orders modeled on domestic violence protection orders. They temporarily prohibit a person found to pose a danger to self or others from possessing or acquiring firearms.</w:t>
      </w:r>
    </w:p>
    <w:p>
      <w:pPr>
        <w:pStyle w:val="ListParagraph"/>
        <w:numPr>
          <w:ilvl w:val="0"/>
          <w:numId w:val="1"/>
        </w:numPr>
        <w:spacing w:after="80"/>
      </w:pPr>
      <w:r>
        <w:t>History. Connecticut enacted the first such law in 1999, and Indiana followed in 2005 with the Jake Laird Law. Many states adopted ERPO laws after the 2018 Parkland shooting, including Florida's Risk Protection Order Act. As of 2025, roughly two dozen states and the District of Columbia have ERPO laws.</w:t>
      </w:r>
    </w:p>
    <w:p>
      <w:pPr>
        <w:pStyle w:val="ListParagraph"/>
        <w:numPr>
          <w:ilvl w:val="0"/>
          <w:numId w:val="1"/>
        </w:numPr>
        <w:spacing w:after="80"/>
      </w:pPr>
      <w:r>
        <w:t>Petitioners. In some states, such as Indiana, only law enforcement may petition, although anyone may report a concern to police. Other states allow family or household members and, in some cases, employers, coworkers, or teachers to petition directly. California, for example, requires coworkers to have had substantial interaction with the respondent for at least a year and to have the employer's approval, and teachers to have school administration approval.</w:t>
      </w:r>
    </w:p>
    <w:p>
      <w:pPr>
        <w:pStyle w:val="ListParagraph"/>
        <w:numPr>
          <w:ilvl w:val="0"/>
          <w:numId w:val="1"/>
        </w:numPr>
        <w:spacing w:after="80"/>
      </w:pPr>
      <w:r>
        <w:t>Standards and procedure. States differ on the required likelihood and imminence of danger and on the standard of proof, with some requiring clear and convincing evidence at a full hearing. Ex parte emergency orders may issue without notice on a showing of imminent danger but last only a short period, typically up to about two weeks, before a hearing at which the respondent may present evidence.</w:t>
      </w:r>
    </w:p>
    <w:p>
      <w:pPr>
        <w:pStyle w:val="ListParagraph"/>
        <w:numPr>
          <w:ilvl w:val="0"/>
          <w:numId w:val="1"/>
        </w:numPr>
        <w:spacing w:after="80"/>
      </w:pPr>
      <w:r>
        <w:t>Safeguards. Petitions must be sworn, and many states impose criminal penalties for knowingly false petitions. Orders are temporary and subject to renewal and review. Maine's 2019 "yellow flag" law required protective custody and a medical assessment before firearms could be removed; Maine voters approved a full ERPO law in November 2025.</w:t>
      </w:r>
    </w:p>
    <w:p>
      <w:pPr>
        <w:pStyle w:val="ListParagraph"/>
        <w:numPr>
          <w:ilvl w:val="0"/>
          <w:numId w:val="1"/>
        </w:numPr>
        <w:spacing w:after="80"/>
      </w:pPr>
      <w:r>
        <w:t>Federal funding. There is no federal ERPO law, but the Bipartisan Safer Communities Act of 2022 provided $750 million for state crisis intervention programs, including ERPO programs, mental health courts, drug courts, and veterans courts.</w:t>
      </w:r>
    </w:p>
    <w:p>
      <w:pPr>
        <w:pStyle w:val="Heading2"/>
        <w:spacing w:after="120" w:before="240"/>
      </w:pPr>
      <w:r>
        <w:rPr>
          <w:b/>
          <w:bCs/>
        </w:rPr>
        <w:t>Effectiveness and Implementation</w:t>
      </w:r>
    </w:p>
    <w:p>
      <w:pPr>
        <w:pStyle w:val="ListParagraph"/>
        <w:numPr>
          <w:ilvl w:val="0"/>
          <w:numId w:val="1"/>
        </w:numPr>
        <w:spacing w:after="80"/>
      </w:pPr>
      <w:r>
        <w:t>Research from Connecticut and Indiana, the states with the longest experience, supports the conclusion that ERPOs help prevent firearm suicides. ERPOs appear most effective against everyday interpersonal violence and suicide rather than mass shootings, which are rare and harder to study statistically.</w:t>
      </w:r>
    </w:p>
    <w:p>
      <w:pPr>
        <w:pStyle w:val="ListParagraph"/>
        <w:numPr>
          <w:ilvl w:val="0"/>
          <w:numId w:val="1"/>
        </w:numPr>
        <w:spacing w:after="80"/>
      </w:pPr>
      <w:r>
        <w:t>Use of ERPOs depends on public awareness and law enforcement familiarity, which often rise after highly publicized shootings. In 2020, Florida led the nation in ERPO petitions.</w:t>
      </w:r>
    </w:p>
    <w:p>
      <w:pPr>
        <w:pStyle w:val="ListParagraph"/>
        <w:numPr>
          <w:ilvl w:val="0"/>
          <w:numId w:val="1"/>
        </w:numPr>
        <w:spacing w:after="80"/>
      </w:pPr>
      <w:r>
        <w:t>In Broward County, Florida, a large majority of respondents consent to the orders. Courts deny a significant share of petitions, particularly those not filed by law enforcement.</w:t>
      </w:r>
    </w:p>
    <w:p>
      <w:pPr>
        <w:pStyle w:val="Heading2"/>
        <w:spacing w:after="120" w:before="240"/>
      </w:pPr>
      <w:r>
        <w:rPr>
          <w:b/>
          <w:bCs/>
        </w:rPr>
        <w:t>ERPOs After Bruen</w:t>
      </w:r>
    </w:p>
    <w:p>
      <w:pPr>
        <w:pStyle w:val="ListParagraph"/>
        <w:numPr>
          <w:ilvl w:val="0"/>
          <w:numId w:val="1"/>
        </w:numPr>
        <w:spacing w:after="80"/>
      </w:pPr>
      <w:r>
        <w:t>New York State Rifle &amp; Pistol Association v. Bruen, 597 U.S. 1 (2022), requires that firearm regulations be consistent with the nation's historical tradition of firearm regulation.</w:t>
      </w:r>
    </w:p>
    <w:p>
      <w:pPr>
        <w:pStyle w:val="ListParagraph"/>
        <w:numPr>
          <w:ilvl w:val="0"/>
          <w:numId w:val="1"/>
        </w:numPr>
        <w:spacing w:after="80"/>
      </w:pPr>
      <w:r>
        <w:t>Before Bruen, no court had struck down an ERPO law. After Bruen, New York trial courts reached conflicting conclusions about the constitutionality of New York's ERPO law, one reasoning that it lacked the protections of the state's involuntary commitment law and another upholding it.</w:t>
      </w:r>
    </w:p>
    <w:p>
      <w:pPr>
        <w:pStyle w:val="ListParagraph"/>
        <w:numPr>
          <w:ilvl w:val="0"/>
          <w:numId w:val="1"/>
        </w:numPr>
        <w:spacing w:after="80"/>
      </w:pPr>
      <w:r>
        <w:t>Professor Madeira argues that ERPOs are better analyzed as emergency deprivations subject to procedural due process than under the Second Amendment's historical test.</w:t>
      </w:r>
    </w:p>
    <w:p>
      <w:pPr>
        <w:pStyle w:val="Heading2"/>
        <w:spacing w:after="120" w:before="240"/>
      </w:pPr>
      <w:r>
        <w:rPr>
          <w:b/>
          <w:bCs/>
        </w:rPr>
        <w:t>Domestic Violence and Firearms</w:t>
      </w:r>
    </w:p>
    <w:p>
      <w:pPr>
        <w:pStyle w:val="ListParagraph"/>
        <w:numPr>
          <w:ilvl w:val="0"/>
          <w:numId w:val="1"/>
        </w:numPr>
        <w:spacing w:after="80"/>
      </w:pPr>
      <w:r>
        <w:t>18 U.S.C. § 922(g)(9) (Lautenberg Amendment, 1996). Prohibits firearm possession by persons convicted of a misdemeanor crime of domestic violence. See United States v. Castleman, 572 U.S. 157 (2014); Voisine v. United States, 579 U.S. 686 (2016).</w:t>
      </w:r>
    </w:p>
    <w:p>
      <w:pPr>
        <w:pStyle w:val="ListParagraph"/>
        <w:numPr>
          <w:ilvl w:val="0"/>
          <w:numId w:val="1"/>
        </w:numPr>
        <w:spacing w:after="80"/>
      </w:pPr>
      <w:r>
        <w:t>18 U.S.C. § 922(g)(8). Prohibits firearm possession by a person subject to a court order, issued after notice and a hearing, that restrains the person from harassing, stalking, or threatening an intimate partner or child, and that includes a finding of a credible threat or explicitly prohibits the use of force.</w:t>
      </w:r>
    </w:p>
    <w:p>
      <w:pPr>
        <w:pStyle w:val="ListParagraph"/>
        <w:numPr>
          <w:ilvl w:val="0"/>
          <w:numId w:val="1"/>
        </w:numPr>
        <w:spacing w:after="80"/>
      </w:pPr>
      <w:r>
        <w:t>Dating relationships. The Bipartisan Safer Communities Act of 2022 extended § 922(g)(9) to misdemeanor domestic violence convictions involving dating relationships, with firearm rights restored after five years for a first offense if certain conditions are met.</w:t>
      </w:r>
    </w:p>
    <w:p>
      <w:pPr>
        <w:pStyle w:val="ListParagraph"/>
        <w:numPr>
          <w:ilvl w:val="0"/>
          <w:numId w:val="1"/>
        </w:numPr>
        <w:spacing w:after="80"/>
      </w:pPr>
      <w:r>
        <w:t>Gaps. Federal law does not bar firearm possession by persons convicted of misdemeanor stalking, which is a strong predictor of future violence.</w:t>
      </w:r>
    </w:p>
    <w:p>
      <w:pPr>
        <w:pStyle w:val="ListParagraph"/>
        <w:numPr>
          <w:ilvl w:val="0"/>
          <w:numId w:val="1"/>
        </w:numPr>
        <w:spacing w:after="80"/>
      </w:pPr>
      <w:r>
        <w:t>State laws. Many states go further, extending prohibitions to household members and other relationships or to other protective orders, and requiring firearms to be surrendered or removed at the scene of a domestic violence incident.</w:t>
      </w:r>
    </w:p>
    <w:p>
      <w:pPr>
        <w:pStyle w:val="ListParagraph"/>
        <w:numPr>
          <w:ilvl w:val="0"/>
          <w:numId w:val="1"/>
        </w:numPr>
        <w:spacing w:after="80"/>
      </w:pPr>
      <w:r>
        <w:t>Scale of the problem. Intimate partner violence affects roughly one in three women over their lifetimes, and the presence of a gun substantially increases the risk that an abused woman will be killed.</w:t>
      </w:r>
    </w:p>
    <w:p>
      <w:pPr>
        <w:pStyle w:val="Heading2"/>
        <w:spacing w:after="120" w:before="240"/>
      </w:pPr>
      <w:r>
        <w:rPr>
          <w:b/>
          <w:bCs/>
        </w:rPr>
        <w:t>Developments to Know</w:t>
      </w:r>
    </w:p>
    <w:p>
      <w:pPr>
        <w:pStyle w:val="ListParagraph"/>
        <w:numPr>
          <w:ilvl w:val="0"/>
          <w:numId w:val="1"/>
        </w:numPr>
        <w:spacing w:after="80"/>
      </w:pPr>
      <w:r>
        <w:t>United States v. Rahimi, 602 U.S. 680 (2024). The Court, 8-1, upheld § 922(g)(8), holding that an individual found by a court to pose a credible threat to the physical safety of another may be temporarily disarmed. The Court explained that Bruen requires consistency with the principles underlying the nation's regulatory tradition, not a "historical twin," citing historical surety and "going armed" laws.</w:t>
      </w:r>
    </w:p>
    <w:p>
      <w:pPr>
        <w:pStyle w:val="ListParagraph"/>
        <w:numPr>
          <w:ilvl w:val="0"/>
          <w:numId w:val="1"/>
        </w:numPr>
        <w:spacing w:after="80"/>
      </w:pPr>
      <w:r>
        <w:t>United States v. Hemani (2026). The Court held that the federal ban on firearm possession by unlawful drug users, 18 U.S.C. § 922(g)(3), could not be applied to a person based solely on occasional marijuana use.</w:t>
      </w:r>
    </w:p>
    <w:p>
      <w:pPr>
        <w:pStyle w:val="ListParagraph"/>
        <w:numPr>
          <w:ilvl w:val="0"/>
          <w:numId w:val="1"/>
        </w:numPr>
        <w:spacing w:after="80"/>
      </w:pPr>
      <w:r>
        <w:t>State developments. Maine voters approved an ERPO law in November 2025. Montana and Texas enacted laws in 2025 restricting red flag orders.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