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rtl w:val="0"/>
        </w:rPr>
        <w:t xml:space="preserve">Continuing Legal Education Written Materials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rtl w:val="0"/>
        </w:rPr>
        <w:t xml:space="preserve">Self-Defense and the Use of Deadly Force</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Based on a TalksOnLaw interview between host Joel Cohen and guest Professor Kimberly Ferzan (University of Pennsylvania Carey Law School).</w:t>
      </w:r>
    </w:p>
    <w:p w:rsidR="00000000" w:rsidDel="00000000" w:rsidP="00000000" w:rsidRDefault="00000000" w:rsidRPr="00000000" w14:paraId="00000004">
      <w:pPr>
        <w:pStyle w:val="Heading1"/>
        <w:rPr/>
      </w:pPr>
      <w:r w:rsidDel="00000000" w:rsidR="00000000" w:rsidRPr="00000000">
        <w:rPr>
          <w:rtl w:val="0"/>
        </w:rPr>
        <w:t xml:space="preserve">1. Orientation: What This Course Covers (and Why It Matters)</w:t>
      </w:r>
    </w:p>
    <w:p w:rsidR="00000000" w:rsidDel="00000000" w:rsidP="00000000" w:rsidRDefault="00000000" w:rsidRPr="00000000" w14:paraId="00000005">
      <w:pPr>
        <w:rPr/>
      </w:pPr>
      <w:r w:rsidDel="00000000" w:rsidR="00000000" w:rsidRPr="00000000">
        <w:rPr>
          <w:rtl w:val="0"/>
        </w:rPr>
        <w:t xml:space="preserve">This course explains the legal doctrine of self-defense—especially when it can justify the use of deadly force. The interview frames self-defense as an affirmative defense that can apply even when a defendant admits the act (e.g., assault or homicide) but claims the act was legally justified. The core concepts recur across jurisdictions, but statutory language, jury instructions, and burden allocations vary by state.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Insight: Self-defense is typically treated as a justification defense (the act is claimed to be permissible under the circumstances), not merely an excuse.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Because state law varies, written materials should be used as a framework for issue-spotting and analysis—not as a substitute for jurisdiction-specific statutes and case law.</w:t>
      </w: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1.1 Learning objectives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 self-defense as an affirmative defense and distinguish justification from excuse.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the core elements discussed in the interview: imminence/immediacy, reasonable belief, necessity, and proportionality.</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how jurisdictions treat mistakes (reasonable vs unreasonable belief) and the concept of imperfect self-defense.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Apply the doctrine to common scenarios: threats, home intrusion, display/pointing of a firearm, and defense of others.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Recognize special doctrinal complications: initial aggressors/provocateurs, duty to retreat vs stand-your-ground, and citizen’s arrest intersections.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practical checklists to analyze facts, anticipate jury-instruction disputes, and preserve the record for trial or appeal.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1"/>
        <w:rPr/>
      </w:pPr>
      <w:r w:rsidDel="00000000" w:rsidR="00000000" w:rsidRPr="00000000">
        <w:rPr>
          <w:rtl w:val="0"/>
        </w:rPr>
        <w:t xml:space="preserve">2. Key Definitions and Building Blocks</w:t>
      </w:r>
    </w:p>
    <w:p w:rsidR="00000000" w:rsidDel="00000000" w:rsidP="00000000" w:rsidRDefault="00000000" w:rsidRPr="00000000" w14:paraId="00000011">
      <w:pPr>
        <w:rPr/>
      </w:pPr>
      <w:r w:rsidDel="00000000" w:rsidR="00000000" w:rsidRPr="00000000">
        <w:rPr>
          <w:rtl w:val="0"/>
        </w:rPr>
        <w:t xml:space="preserve">The interview uses several concepts that are helpful to define up front.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Affirmative defense: a defense raised by the defendant that, if established, can justify or mitigate criminal liability even when the underlying conduct is proven.</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Justification vs. excuse: justification argues the act was permissible (e.g., necessary to protect against unlawful force); excuse argues the act was wrong but the actor is not blameworthy.</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Deadly force: force intended or likely to cause death (definitions vary; many jurisdictions also treat force likely to cause great/serious bodily harm similarly).</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Imminence / immediacy: the timing requirement for when force may be used; jurisdictions differ on how strictly to interpret this element.</w:t>
      </w:r>
    </w:p>
    <w:p w:rsidR="00000000" w:rsidDel="00000000" w:rsidP="00000000" w:rsidRDefault="00000000" w:rsidRPr="00000000" w14:paraId="00000016">
      <w:pPr>
        <w:pStyle w:val="Heading1"/>
        <w:rPr/>
      </w:pPr>
      <w:r w:rsidDel="00000000" w:rsidR="00000000" w:rsidRPr="00000000">
        <w:rPr>
          <w:rtl w:val="0"/>
        </w:rPr>
        <w:t xml:space="preserve">3. Core Elements of Self-Defense (Interview Framework)</w:t>
      </w:r>
    </w:p>
    <w:p w:rsidR="00000000" w:rsidDel="00000000" w:rsidP="00000000" w:rsidRDefault="00000000" w:rsidRPr="00000000" w14:paraId="00000017">
      <w:pPr>
        <w:rPr/>
      </w:pPr>
      <w:r w:rsidDel="00000000" w:rsidR="00000000" w:rsidRPr="00000000">
        <w:rPr>
          <w:rtl w:val="0"/>
        </w:rPr>
        <w:t xml:space="preserve">Although formulations differ across jurisdictions, the interview repeatedly returns to four core ideas: (1) an imminent or immediately necessary response to an unlawful threat, (2) a reasonable belief in the threat, (3) necessity (no more force than needed), and (4) proportionality (the level of force must match the level of threat).</w:t>
      </w:r>
    </w:p>
    <w:p w:rsidR="00000000" w:rsidDel="00000000" w:rsidP="00000000" w:rsidRDefault="00000000" w:rsidRPr="00000000" w14:paraId="00000018">
      <w:pPr>
        <w:pStyle w:val="Heading2"/>
        <w:rPr/>
      </w:pPr>
      <w:r w:rsidDel="00000000" w:rsidR="00000000" w:rsidRPr="00000000">
        <w:rPr>
          <w:rtl w:val="0"/>
        </w:rPr>
        <w:t xml:space="preserve">3.1 Imminence vs. ‘immediately necessary’</w:t>
      </w:r>
    </w:p>
    <w:p w:rsidR="00000000" w:rsidDel="00000000" w:rsidP="00000000" w:rsidRDefault="00000000" w:rsidRPr="00000000" w14:paraId="00000019">
      <w:pPr>
        <w:rPr/>
      </w:pPr>
      <w:r w:rsidDel="00000000" w:rsidR="00000000" w:rsidRPr="00000000">
        <w:rPr>
          <w:rtl w:val="0"/>
        </w:rPr>
        <w:t xml:space="preserve">The interview explains that ‘imminent’ generally means an attack is occurring or about to occur at that moment—not a generalized fear of future harm. At the same time, the interview notes a long-standing critique of strict imminence in certain contexts, such as some domestic-violence scenarios.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 point: Imminence is framed as ‘absolutely at this second there is an attack’—and force used after the threat has passed is characterized as retaliatory rather than defensive.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 point: The Model Penal Code approach is described as using an ‘immediately necessary’ standard rather than a strict imminence standard.</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Transcript anchors: Imminence discussion begins around ~00:06:14; MPC ‘immediately necessary’ appears around ~00:07:12.</w:t>
      </w:r>
    </w:p>
    <w:tbl>
      <w:tblPr>
        <w:tblStyle w:val="Table1"/>
        <w:tblW w:w="8640.0" w:type="dxa"/>
        <w:jc w:val="center"/>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1D">
            <w:pPr>
              <w:rPr/>
            </w:pPr>
            <w:r w:rsidDel="00000000" w:rsidR="00000000" w:rsidRPr="00000000">
              <w:rPr>
                <w:rtl w:val="0"/>
              </w:rPr>
              <w:t xml:space="preserve">Common-law style framing (often)</w:t>
            </w:r>
          </w:p>
        </w:tc>
        <w:tc>
          <w:tcPr/>
          <w:p w:rsidR="00000000" w:rsidDel="00000000" w:rsidP="00000000" w:rsidRDefault="00000000" w:rsidRPr="00000000" w14:paraId="0000001E">
            <w:pPr>
              <w:rPr/>
            </w:pPr>
            <w:r w:rsidDel="00000000" w:rsidR="00000000" w:rsidRPr="00000000">
              <w:rPr>
                <w:rtl w:val="0"/>
              </w:rPr>
              <w:t xml:space="preserve">Model Penal Code style framing</w:t>
            </w:r>
          </w:p>
        </w:tc>
      </w:tr>
      <w:tr>
        <w:trPr>
          <w:cantSplit w:val="0"/>
          <w:tblHeader w:val="0"/>
        </w:trPr>
        <w:tc>
          <w:tcPr/>
          <w:p w:rsidR="00000000" w:rsidDel="00000000" w:rsidP="00000000" w:rsidRDefault="00000000" w:rsidRPr="00000000" w14:paraId="0000001F">
            <w:pPr>
              <w:rPr/>
            </w:pPr>
            <w:r w:rsidDel="00000000" w:rsidR="00000000" w:rsidRPr="00000000">
              <w:rPr>
                <w:rtl w:val="0"/>
              </w:rPr>
              <w:t xml:space="preserve">Force is justified when the defender reasonably believes they face an imminent unlawful threat.</w:t>
            </w:r>
          </w:p>
        </w:tc>
        <w:tc>
          <w:tcPr/>
          <w:p w:rsidR="00000000" w:rsidDel="00000000" w:rsidP="00000000" w:rsidRDefault="00000000" w:rsidRPr="00000000" w14:paraId="00000020">
            <w:pPr>
              <w:rPr/>
            </w:pPr>
            <w:r w:rsidDel="00000000" w:rsidR="00000000" w:rsidRPr="00000000">
              <w:rPr>
                <w:rtl w:val="0"/>
              </w:rPr>
              <w:t xml:space="preserve">Force is justified when the defender believes force is immediately necessary to protect against unlawful force on the present occasion.</w:t>
            </w:r>
          </w:p>
        </w:tc>
      </w:tr>
      <w:tr>
        <w:trPr>
          <w:cantSplit w:val="0"/>
          <w:tblHeader w:val="0"/>
        </w:trPr>
        <w:tc>
          <w:tcPr/>
          <w:p w:rsidR="00000000" w:rsidDel="00000000" w:rsidP="00000000" w:rsidRDefault="00000000" w:rsidRPr="00000000" w14:paraId="00000021">
            <w:pPr>
              <w:rPr/>
            </w:pPr>
            <w:r w:rsidDel="00000000" w:rsidR="00000000" w:rsidRPr="00000000">
              <w:rPr>
                <w:rtl w:val="0"/>
              </w:rPr>
              <w:t xml:space="preserve">Strict imminence can create hard cases where waiting increases danger (e.g., certain domestic-violence dynamics).</w:t>
            </w:r>
          </w:p>
        </w:tc>
        <w:tc>
          <w:tcPr/>
          <w:p w:rsidR="00000000" w:rsidDel="00000000" w:rsidP="00000000" w:rsidRDefault="00000000" w:rsidRPr="00000000" w14:paraId="00000022">
            <w:pPr>
              <w:rPr/>
            </w:pPr>
            <w:r w:rsidDel="00000000" w:rsidR="00000000" w:rsidRPr="00000000">
              <w:rPr>
                <w:rtl w:val="0"/>
              </w:rPr>
              <w:t xml:space="preserve">‘</w:t>
            </w:r>
            <w:r w:rsidDel="00000000" w:rsidR="00000000" w:rsidRPr="00000000">
              <w:rPr>
                <w:rtl w:val="0"/>
              </w:rPr>
              <w:t xml:space="preserve">Immediately</w:t>
            </w:r>
            <w:r w:rsidDel="00000000" w:rsidR="00000000" w:rsidRPr="00000000">
              <w:rPr>
                <w:rtl w:val="0"/>
              </w:rPr>
              <w:t xml:space="preserve"> necessary’ can be argued to better capture realities where waiting until the last second may be unsafe.</w:t>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rPr/>
      </w:pPr>
      <w:r w:rsidDel="00000000" w:rsidR="00000000" w:rsidRPr="00000000">
        <w:rPr>
          <w:rtl w:val="0"/>
        </w:rPr>
        <w:t xml:space="preserve">3.2 Reasonable belief and mistakes (perfect vs. imperfect self-defense)</w:t>
      </w:r>
    </w:p>
    <w:p w:rsidR="00000000" w:rsidDel="00000000" w:rsidP="00000000" w:rsidRDefault="00000000" w:rsidRPr="00000000" w14:paraId="00000025">
      <w:pPr>
        <w:rPr/>
      </w:pPr>
      <w:r w:rsidDel="00000000" w:rsidR="00000000" w:rsidRPr="00000000">
        <w:rPr>
          <w:rtl w:val="0"/>
        </w:rPr>
        <w:t xml:space="preserve">The interview emphasizes that jurisdictions commonly distinguish between (a) reasonable mistakes and (b) unreasonable mistakes. A reasonable mistaken belief can still justify force; an unreasonable belief may provide no defense or may mitigate (depending on the jurisdiction).</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 point: If a person reasonably believes they are threatened, they may have a complete defense even if the belief turns out to be wrong.</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 point: Unreasonable beliefs are treated differently across jurisdictions: some provide no defense; others recognize imperfect self-defense that can reduce murder to manslaughter.</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When litigating, clarify whether the jurisdiction recognizes imperfect self-defense, and whether it is treated as mitigation, partial justification, or a separate doctrine.</w:t>
      </w:r>
      <w:r w:rsidDel="00000000" w:rsidR="00000000" w:rsidRPr="00000000">
        <w:rPr>
          <w:rtl w:val="0"/>
        </w:rPr>
      </w:r>
    </w:p>
    <w:p w:rsidR="00000000" w:rsidDel="00000000" w:rsidP="00000000" w:rsidRDefault="00000000" w:rsidRPr="00000000" w14:paraId="00000029">
      <w:pPr>
        <w:pStyle w:val="Heading2"/>
        <w:rPr/>
      </w:pPr>
      <w:r w:rsidDel="00000000" w:rsidR="00000000" w:rsidRPr="00000000">
        <w:rPr>
          <w:rtl w:val="0"/>
        </w:rPr>
        <w:t xml:space="preserve">3.3 Necessity and proportionality (how much force, and why)</w:t>
      </w:r>
    </w:p>
    <w:p w:rsidR="00000000" w:rsidDel="00000000" w:rsidP="00000000" w:rsidRDefault="00000000" w:rsidRPr="00000000" w14:paraId="0000002A">
      <w:pPr>
        <w:rPr/>
      </w:pPr>
      <w:r w:rsidDel="00000000" w:rsidR="00000000" w:rsidRPr="00000000">
        <w:rPr>
          <w:rtl w:val="0"/>
        </w:rPr>
        <w:t xml:space="preserve">The interview frames the right of self-defense as arising from necessity: a defender cannot use force unless it is necessary, and cannot use more force than necessary. Proportionality means the level of force must match the level of threat.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Necessity: even when threatened, a defender must use only the force reasonably necessary to stop the unlawful force.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Proportionality: deadly force is typically justified only for threats of death or serious bodily injury (and, in some jurisdictions, certain serious felonies).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 nuance: The interview acknowledges difficult ‘pockets’ where a person faces threats like robbery (‘your money or your life’) and some jurisdictions may allow deadly force even though surrendering property is possible.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1"/>
        <w:rPr/>
      </w:pPr>
      <w:r w:rsidDel="00000000" w:rsidR="00000000" w:rsidRPr="00000000">
        <w:rPr>
          <w:rtl w:val="0"/>
        </w:rPr>
        <w:t xml:space="preserve">4. Imminence in Practice: Hard Cases and the Domestic-Violence Context</w:t>
      </w:r>
    </w:p>
    <w:p w:rsidR="00000000" w:rsidDel="00000000" w:rsidP="00000000" w:rsidRDefault="00000000" w:rsidRPr="00000000" w14:paraId="00000030">
      <w:pPr>
        <w:rPr/>
      </w:pPr>
      <w:r w:rsidDel="00000000" w:rsidR="00000000" w:rsidRPr="00000000">
        <w:rPr>
          <w:rtl w:val="0"/>
        </w:rPr>
        <w:t xml:space="preserve">The interview highlights criticism of strict imminence in scenarios such as battered-person cases where the abuser may not be actively attacking at the precise moment. The interview describes the concern: requiring a defender to wait until the last second may be unrealistic and may increase risk.</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 point: Some jurisdictions broaden the imminence requirement or rely on an ‘immediately necessary’ framing to address situations where waiting can be dangerous.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Where the imminence standard is contested, litigation may involve defendant testimony about the pattern of abuse, perceived inability to escape, and—sometimes—expert testimony on domestic-violence dynamics (jurisdiction-dependent).</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Caution: The interview notes that claims such as ‘I reasonably believed I was about to be attacked by someone who was sleeping’ are often treated as unreasonable absent additional context; the outcome can shift to mitigation rather than full justification.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1"/>
        <w:rPr/>
      </w:pPr>
      <w:r w:rsidDel="00000000" w:rsidR="00000000" w:rsidRPr="00000000">
        <w:rPr>
          <w:rtl w:val="0"/>
        </w:rPr>
        <w:t xml:space="preserve">5. Reasonableness: What Counts as ‘Reasonable Fear’?</w:t>
      </w:r>
    </w:p>
    <w:p w:rsidR="00000000" w:rsidDel="00000000" w:rsidP="00000000" w:rsidRDefault="00000000" w:rsidRPr="00000000" w14:paraId="00000036">
      <w:pPr>
        <w:rPr/>
      </w:pPr>
      <w:r w:rsidDel="00000000" w:rsidR="00000000" w:rsidRPr="00000000">
        <w:rPr>
          <w:rtl w:val="0"/>
        </w:rPr>
        <w:t xml:space="preserve">Reasonableness is often framed as an objective standard: what a reasonable person in the defendant’s situation would believe or do. In practice, the interview notes that juries and jury instructions must decide which ‘situation’ facts matter—especially differences in size, strength, and capability.</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 example: The host raises the common-sense point that a defender may assess the threat differently depending on the attacker’s perceived capacity to cause harm (e.g., size/strength).</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In many jurisdictions, the ‘reasonable person’ inquiry may include some contextual attributes (location, disparity of force, prior threats), but not idiosyncratic or biased perceptions. How this is instructed varies.</w:t>
      </w:r>
      <w:r w:rsidDel="00000000" w:rsidR="00000000" w:rsidRPr="00000000">
        <w:rPr>
          <w:rtl w:val="0"/>
        </w:rPr>
      </w:r>
    </w:p>
    <w:p w:rsidR="00000000" w:rsidDel="00000000" w:rsidP="00000000" w:rsidRDefault="00000000" w:rsidRPr="00000000" w14:paraId="00000039">
      <w:pPr>
        <w:pStyle w:val="Heading2"/>
        <w:rPr/>
      </w:pPr>
      <w:r w:rsidDel="00000000" w:rsidR="00000000" w:rsidRPr="00000000">
        <w:rPr>
          <w:rtl w:val="0"/>
        </w:rPr>
        <w:t xml:space="preserve">5.1 Verbal threats: when (if ever) words justify force</w:t>
      </w:r>
    </w:p>
    <w:p w:rsidR="00000000" w:rsidDel="00000000" w:rsidP="00000000" w:rsidRDefault="00000000" w:rsidRPr="00000000" w14:paraId="0000003A">
      <w:pPr>
        <w:rPr/>
      </w:pPr>
      <w:r w:rsidDel="00000000" w:rsidR="00000000" w:rsidRPr="00000000">
        <w:rPr>
          <w:rtl w:val="0"/>
        </w:rPr>
        <w:t xml:space="preserve">The interview is careful on verbal threats: insults alone do not justify force because there is no unlawful force to respond to. Threats can matter if circumstances make it reasonable to fear imminent harm (e.g., proximity, ability, actions, and timing).</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Mere insults: generally do not justify use of force.</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Threats: may contribute to a reasonable fear of imminent harm when coupled with circumstances suggesting the threat will be carried out immediately.</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Ask what additional facts make the threat credible right now: distance, whether the person is moving toward you, whether they have a weapon, whether escape is feasible, and whether the threat is conditional or immediate.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1"/>
        <w:rPr/>
      </w:pPr>
      <w:r w:rsidDel="00000000" w:rsidR="00000000" w:rsidRPr="00000000">
        <w:rPr>
          <w:rtl w:val="0"/>
        </w:rPr>
        <w:t xml:space="preserve">6. Proportionality and Firearms: Deadly Force, Display, and ‘Pointing Guns’</w:t>
      </w:r>
    </w:p>
    <w:p w:rsidR="00000000" w:rsidDel="00000000" w:rsidP="00000000" w:rsidRDefault="00000000" w:rsidRPr="00000000" w14:paraId="00000040">
      <w:pPr>
        <w:rPr/>
      </w:pPr>
      <w:r w:rsidDel="00000000" w:rsidR="00000000" w:rsidRPr="00000000">
        <w:rPr>
          <w:rtl w:val="0"/>
        </w:rPr>
        <w:t xml:space="preserve">The interview highlights a recurring question in modern self-defense debates: does displaying or pointing a gun count as deadly force? Jurisdictions vary, and analysis can depend on how the law defines deadly force and on the actor’s intent and context.</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 point: Some jurisdictions treat mere display/pointing without firing differently than firing; others treat it as a threat of deadly force.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When analyzing a gun-display scenario, distinguish: (1) threatening use of deadly force, (2) actual use of deadly force, and (3) whether a reasonable fear of imminent harm existed at the moment of display.</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1"/>
        <w:rPr/>
      </w:pPr>
      <w:r w:rsidDel="00000000" w:rsidR="00000000" w:rsidRPr="00000000">
        <w:rPr>
          <w:rtl w:val="0"/>
        </w:rPr>
        <w:t xml:space="preserve">7. Burden of Proof and Procedure: Who Must Prove Self-Defense?</w:t>
      </w:r>
    </w:p>
    <w:p w:rsidR="00000000" w:rsidDel="00000000" w:rsidP="00000000" w:rsidRDefault="00000000" w:rsidRPr="00000000" w14:paraId="00000045">
      <w:pPr>
        <w:rPr/>
      </w:pPr>
      <w:r w:rsidDel="00000000" w:rsidR="00000000" w:rsidRPr="00000000">
        <w:rPr>
          <w:rtl w:val="0"/>
        </w:rPr>
        <w:t xml:space="preserve">Self-defense is often described as an affirmative defense, but the burden allocation varies by state. Many jurisdictions require the defense to meet a burden of production (introduce evidence), and then require the prosecution to disprove self-defense beyond a reasonable doubt. Some jurisdictions historically placed a burden of persuasion on the defendant.</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Key case: Martin v. Ohio (U.S. Supreme Court, 1987) held that placing the burden of proving self-defense on the defendant (by a preponderance) is constitutional under the Due Process Clause, though states may allocate burdens differently by statute.</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For MCLE use, treat burden allocation as a checklist item: it affects motion practice, jury instructions, and appellate preservation.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1"/>
        <w:rPr/>
      </w:pPr>
      <w:r w:rsidDel="00000000" w:rsidR="00000000" w:rsidRPr="00000000">
        <w:rPr>
          <w:rtl w:val="0"/>
        </w:rPr>
        <w:t xml:space="preserve">8. Defense of Others: Mistakes and ‘Standing in the Shoes’</w:t>
      </w:r>
    </w:p>
    <w:p w:rsidR="00000000" w:rsidDel="00000000" w:rsidP="00000000" w:rsidRDefault="00000000" w:rsidRPr="00000000" w14:paraId="0000004A">
      <w:pPr>
        <w:rPr/>
      </w:pPr>
      <w:r w:rsidDel="00000000" w:rsidR="00000000" w:rsidRPr="00000000">
        <w:rPr>
          <w:rtl w:val="0"/>
        </w:rPr>
        <w:t xml:space="preserve">The interview discusses defense of others as a widely recognized defense, but flags a difficult question: should the defender’s justification depend on the defender’s reasonable belief, or on whether the person defended actually had a right to self-defense?</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 point: The defender’s perspective and the defended person’s perspective can diverge—creating hard cases when the defender is mistaken about the situation.</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Example: People v. Young (N.Y. 1962) is used in the sample materials to illustrate a mistaken intervention involving plainclothes officers; the result highlights how jurisdictions can treat mistakes differently in defense-of-others scenarios.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1"/>
        <w:rPr/>
      </w:pPr>
      <w:r w:rsidDel="00000000" w:rsidR="00000000" w:rsidRPr="00000000">
        <w:rPr>
          <w:rtl w:val="0"/>
        </w:rPr>
        <w:t xml:space="preserve">9. Initial Aggressors and Provocateurs</w:t>
      </w:r>
    </w:p>
    <w:p w:rsidR="00000000" w:rsidDel="00000000" w:rsidP="00000000" w:rsidRDefault="00000000" w:rsidRPr="00000000" w14:paraId="0000004F">
      <w:pPr>
        <w:rPr/>
      </w:pPr>
      <w:r w:rsidDel="00000000" w:rsidR="00000000" w:rsidRPr="00000000">
        <w:rPr>
          <w:rtl w:val="0"/>
        </w:rPr>
        <w:t xml:space="preserve">A recurring limitation on self-defense is that the initial aggressor generally loses the right to claim self-defense—at least unless they withdraw and clearly communicate withdrawal. The provocateur doctrine is distinct: it focuses on a person who intentionally provokes a confrontation to create a pretext for using force.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Initial aggressor (general idea): the person who attacks or threatens first may lose self-defense rights, subject to withdrawal rules.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Provocateur (general idea): a person who intentionally incites an attack to create an excuse to harm the other party generally loses self-defense rights.</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This area is highly jurisdiction-specific and often turns on jury-instruction language and factual framing (who escalated, what counts as ‘provocation,’ and whether withdrawal occurred).</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1"/>
        <w:rPr/>
      </w:pPr>
      <w:r w:rsidDel="00000000" w:rsidR="00000000" w:rsidRPr="00000000">
        <w:rPr>
          <w:rtl w:val="0"/>
        </w:rPr>
        <w:t xml:space="preserve">10. Duty to Retreat, Castle Doctrine, and Stand-Your-Ground</w:t>
      </w:r>
    </w:p>
    <w:p w:rsidR="00000000" w:rsidDel="00000000" w:rsidP="00000000" w:rsidRDefault="00000000" w:rsidRPr="00000000" w14:paraId="00000055">
      <w:pPr>
        <w:rPr/>
      </w:pPr>
      <w:r w:rsidDel="00000000" w:rsidR="00000000" w:rsidRPr="00000000">
        <w:rPr>
          <w:rtl w:val="0"/>
        </w:rPr>
        <w:t xml:space="preserve">The interview closes with a clear doctrinal map: (1) generally no duty to retreat before using non-deadly force, (2) generally no duty to retreat inside the home (castle doctrine), and (3) the major battleground is whether there is a duty to retreat before using deadly force outside the home—where some states impose a retreat-with-complete-safety rule and others adopt stand-your-ground.</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 point: Where a duty exists, it typically applies only when retreat can be accomplished with complete safety; if retreat increases vulnerability, it is not required.</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 point: Stand-your-ground statutes remove the duty to retreat in places where the defender is lawfully present, subject to statutory conditions.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Transcript anchors: Duty-to-retreat discussion begins around ~00:27:41; castle doctrine around ~00:28:53; stand-your-ground around ~00:29:35.</w:t>
      </w:r>
      <w:r w:rsidDel="00000000" w:rsidR="00000000" w:rsidRPr="00000000">
        <w:rPr>
          <w:rtl w:val="0"/>
        </w:rPr>
      </w:r>
    </w:p>
    <w:p w:rsidR="00000000" w:rsidDel="00000000" w:rsidP="00000000" w:rsidRDefault="00000000" w:rsidRPr="00000000" w14:paraId="00000059">
      <w:pPr>
        <w:pStyle w:val="Heading2"/>
        <w:rPr/>
      </w:pPr>
      <w:r w:rsidDel="00000000" w:rsidR="00000000" w:rsidRPr="00000000">
        <w:rPr>
          <w:rtl w:val="0"/>
        </w:rPr>
        <w:t xml:space="preserve">10.1 ‘True man’ doctrine (historical context referenced in the interview)</w:t>
      </w:r>
    </w:p>
    <w:p w:rsidR="00000000" w:rsidDel="00000000" w:rsidP="00000000" w:rsidRDefault="00000000" w:rsidRPr="00000000" w14:paraId="0000005A">
      <w:pPr>
        <w:rPr/>
      </w:pPr>
      <w:r w:rsidDel="00000000" w:rsidR="00000000" w:rsidRPr="00000000">
        <w:rPr>
          <w:rtl w:val="0"/>
        </w:rPr>
        <w:t xml:space="preserve">The interview references the historical ‘true man’ doctrine as part of the retreat discussion. Some scholars critique the phrase, while others interpret it as referring to an innocent person lawfully present who need not yield to wrongdoing.</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When using this historically loaded language in CLE settings, it can be helpful to emphasize the doctrinal idea (innocence + lawful presence) rather than the rhetoric.</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1"/>
        <w:rPr/>
      </w:pPr>
      <w:r w:rsidDel="00000000" w:rsidR="00000000" w:rsidRPr="00000000">
        <w:rPr>
          <w:rtl w:val="0"/>
        </w:rPr>
        <w:t xml:space="preserve">11. Citizen’s Arrest and Self-Defense: Why the Concepts Intersect</w:t>
      </w:r>
    </w:p>
    <w:p w:rsidR="00000000" w:rsidDel="00000000" w:rsidP="00000000" w:rsidRDefault="00000000" w:rsidRPr="00000000" w14:paraId="0000005E">
      <w:pPr>
        <w:rPr/>
      </w:pPr>
      <w:r w:rsidDel="00000000" w:rsidR="00000000" w:rsidRPr="00000000">
        <w:rPr>
          <w:rtl w:val="0"/>
        </w:rPr>
        <w:t xml:space="preserve">The sample written materials (and Professor Ferzan’s scholarship) highlight that citizen’s arrest rules can interact with self-defense in high-profile cases. Private detention authority can change who is ‘lawfully’ restraining whom, and can shape whether the actor is viewed as an aggressor, a defender, or a provocateur.</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Issue-spotting: Was the person attempting a citizen’s arrest authorized under applicable state law? If not, that may affect who is treated as the initial aggressor and whether the force used was lawful.</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Practical reality: citizen’s arrest rules are state-specific and have changed in some jurisdictions following prominent cases.</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Resource note: See Ferzan, Taking Aim at Pointing Guns? Start with Citizen’s Arrest, Not Stand Your Ground (Texas Law Review Online, 2021) for a policy-focused discussion.</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1"/>
        <w:rPr/>
      </w:pPr>
      <w:r w:rsidDel="00000000" w:rsidR="00000000" w:rsidRPr="00000000">
        <w:rPr>
          <w:rtl w:val="0"/>
        </w:rPr>
        <w:t xml:space="preserve">12. Additional Case Studies</w:t>
      </w:r>
    </w:p>
    <w:p w:rsidR="00000000" w:rsidDel="00000000" w:rsidP="00000000" w:rsidRDefault="00000000" w:rsidRPr="00000000" w14:paraId="00000064">
      <w:pPr>
        <w:rPr/>
      </w:pPr>
      <w:r w:rsidDel="00000000" w:rsidR="00000000" w:rsidRPr="00000000">
        <w:rPr>
          <w:rtl w:val="0"/>
        </w:rPr>
        <w:t xml:space="preserve">The sample materials include prominent cases frequently discussed in public discourse. These examples are included here as additional references for participants. Because case law and jury instructions are fact-sensitive, the notes below emphasize the doctrinal issues rather than re-litigating outcomes.</w:t>
      </w:r>
    </w:p>
    <w:p w:rsidR="00000000" w:rsidDel="00000000" w:rsidP="00000000" w:rsidRDefault="00000000" w:rsidRPr="00000000" w14:paraId="00000065">
      <w:pPr>
        <w:pStyle w:val="Heading2"/>
        <w:rPr/>
      </w:pPr>
      <w:r w:rsidDel="00000000" w:rsidR="00000000" w:rsidRPr="00000000">
        <w:rPr>
          <w:rtl w:val="0"/>
        </w:rPr>
        <w:t xml:space="preserve">12.1 Ahmaud Arbery (Georgia) — citizen’s arrest arguments and legal change</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Doctrinal themes: citizen’s arrest authority, what counts as ‘immediate knowledge’ or witnessing of an offense, and how unlawful pursuit can affect self-defense claims.</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Georgia substantially revised its citizen’s arrest statute in 2021 (HB 479), narrowing private arrest authority and limiting detention circumstances.</w:t>
      </w:r>
    </w:p>
    <w:p w:rsidR="00000000" w:rsidDel="00000000" w:rsidP="00000000" w:rsidRDefault="00000000" w:rsidRPr="00000000" w14:paraId="00000068">
      <w:pPr>
        <w:pStyle w:val="Heading2"/>
        <w:rPr/>
      </w:pPr>
      <w:r w:rsidDel="00000000" w:rsidR="00000000" w:rsidRPr="00000000">
        <w:rPr>
          <w:rtl w:val="0"/>
        </w:rPr>
        <w:t xml:space="preserve">12.2 Kyle Rittenhouse (Wisconsin) — provocation, reasonable belief, and retreat considerations</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Doctrinal themes: reasonable belief of imminent death or great bodily harm; whether conduct ‘provoked’ an attack; and how a jurisdiction treats retreat as part of necessity analysis.</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Wisconsin’s self-defense statute contains detailed provocation language (Wis. Stat. § 939.48), illustrating how statutory drafting shapes jury instructions.</w:t>
      </w:r>
    </w:p>
    <w:p w:rsidR="00000000" w:rsidDel="00000000" w:rsidP="00000000" w:rsidRDefault="00000000" w:rsidRPr="00000000" w14:paraId="0000006B">
      <w:pPr>
        <w:pStyle w:val="Heading2"/>
        <w:rPr/>
      </w:pPr>
      <w:r w:rsidDel="00000000" w:rsidR="00000000" w:rsidRPr="00000000">
        <w:rPr>
          <w:rtl w:val="0"/>
        </w:rPr>
        <w:t xml:space="preserve">12.3 George Zimmerman / Trayvon Martin (Florida) — stand-your-ground framing and aggressor issues</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Doctrinal themes: no duty to retreat under certain conditions; disputes over who initiated or provoked the encounter; and the difference between stand-your-ground immunity procedures and trial defenses (jurisdiction-dependent).</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1"/>
        <w:rPr/>
      </w:pPr>
      <w:r w:rsidDel="00000000" w:rsidR="00000000" w:rsidRPr="00000000">
        <w:rPr>
          <w:rtl w:val="0"/>
        </w:rPr>
        <w:t xml:space="preserve">13. Practical Checklists and Templates</w:t>
      </w:r>
    </w:p>
    <w:p w:rsidR="00000000" w:rsidDel="00000000" w:rsidP="00000000" w:rsidRDefault="00000000" w:rsidRPr="00000000" w14:paraId="0000006F">
      <w:pPr>
        <w:pStyle w:val="Heading2"/>
        <w:rPr/>
      </w:pPr>
      <w:r w:rsidDel="00000000" w:rsidR="00000000" w:rsidRPr="00000000">
        <w:rPr>
          <w:rtl w:val="0"/>
        </w:rPr>
        <w:t xml:space="preserve">13.1 Self-defense elements checklist (attorney-facing)</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the threatened harm: unlawful force, death/serious bodily injury, or (in some jurisdictions) certain serious felonies.</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Timing: was the threat imminent, or was force ‘immediately necessary’ under the applicable standard?</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Belief: what did the defendant believe, and what evidence supports that belief (statements, prior threats, behavior, weapons, proximity)?</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Reasonableness: would a reasonable person in the defendant’s situation perceive the threat similarly? Which contextual attributes are legally relevant?</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Necessity: were there reasonable alternatives (de-escalation, retreat where required, calling police, barriers) consistent with safety?</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Proportionality: did the level of force match the threat (deadly vs non-deadly)?</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Limitations: initial aggressor/provocateur? unlawful conduct? defense of others with mistake issues?</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Procedure: who bears the burden of production and persuasion in this jurisdiction? what jury instructions control?</w:t>
      </w:r>
    </w:p>
    <w:p w:rsidR="00000000" w:rsidDel="00000000" w:rsidP="00000000" w:rsidRDefault="00000000" w:rsidRPr="00000000" w14:paraId="00000078">
      <w:pPr>
        <w:pStyle w:val="Heading2"/>
        <w:rPr/>
      </w:pPr>
      <w:r w:rsidDel="00000000" w:rsidR="00000000" w:rsidRPr="00000000">
        <w:rPr>
          <w:rtl w:val="0"/>
        </w:rPr>
        <w:t xml:space="preserve">13.2 Verbal-threat assessment tool (quick questions)</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exactly was said (conditional vs immediate threat)?</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close were the parties, and did the speaker have an apparent ability to carry out the threat immediately?</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Did the speaker take steps toward imminent violence (closing distance, reaching for a weapon, blocking exits)?</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 defender responding to words alone, or to words plus conduct that creates a reasonable fear of imminent unlawful force?</w:t>
      </w:r>
      <w:r w:rsidDel="00000000" w:rsidR="00000000" w:rsidRPr="00000000">
        <w:rPr>
          <w:rtl w:val="0"/>
        </w:rPr>
      </w:r>
    </w:p>
    <w:p w:rsidR="00000000" w:rsidDel="00000000" w:rsidP="00000000" w:rsidRDefault="00000000" w:rsidRPr="00000000" w14:paraId="0000007D">
      <w:pPr>
        <w:pStyle w:val="Heading2"/>
        <w:rPr/>
      </w:pPr>
      <w:r w:rsidDel="00000000" w:rsidR="00000000" w:rsidRPr="00000000">
        <w:rPr>
          <w:rtl w:val="0"/>
        </w:rPr>
        <w:t xml:space="preserve">13.3 Defense-of-others checklist (avoid ‘mistake’ traps)</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Whose perspective controls in this jurisdiction (defender’s reasonable belief vs ‘standing in the shoes’ of the person defended)?</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facts made the defender believe intervention was necessary (weapons, number of attackers, apparent victim status)?</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Was the person defended engaged in unlawful conduct or the initial aggressor (which could limit their own self-defense rights)?</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will the jury be instructed on mistake and reasonableness?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Style w:val="Heading1"/>
        <w:rPr/>
      </w:pPr>
      <w:r w:rsidDel="00000000" w:rsidR="00000000" w:rsidRPr="00000000">
        <w:rPr>
          <w:rtl w:val="0"/>
        </w:rPr>
        <w:t xml:space="preserve">14. Resources (Statutes, Cases, and Research)</w:t>
      </w:r>
    </w:p>
    <w:p w:rsidR="00000000" w:rsidDel="00000000" w:rsidP="00000000" w:rsidRDefault="00000000" w:rsidRPr="00000000" w14:paraId="00000084">
      <w:pPr>
        <w:pStyle w:val="Heading2"/>
        <w:rPr/>
      </w:pPr>
      <w:r w:rsidDel="00000000" w:rsidR="00000000" w:rsidRPr="00000000">
        <w:rPr>
          <w:rtl w:val="0"/>
        </w:rPr>
        <w:t xml:space="preserve">14.1 Core concepts and state-by-state overview</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National Conference of State Legislatures (NCSL) — Self-Defense and ‘Stand Your Ground’ (updated Sept. 23, 2025): https://www.ncsl.org/civil-and-criminal-justice/self-defense-and-stand-your-ground</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 Supreme Court — Martin v. Ohio, 480 U.S. 228 (1987) (official U.S. Reports via GovInfo): https://www.govinfo.gov/app/details/USREPORTS-480/USREPORTS-480-228</w:t>
      </w:r>
    </w:p>
    <w:p w:rsidR="00000000" w:rsidDel="00000000" w:rsidP="00000000" w:rsidRDefault="00000000" w:rsidRPr="00000000" w14:paraId="00000087">
      <w:pPr>
        <w:pStyle w:val="Heading2"/>
        <w:rPr/>
      </w:pPr>
      <w:r w:rsidDel="00000000" w:rsidR="00000000" w:rsidRPr="00000000">
        <w:rPr>
          <w:rtl w:val="0"/>
        </w:rPr>
        <w:t xml:space="preserve">14.2 Statutes referenced in the sample materials</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Florida stand-your-ground statute (Fla. Stat. § 776.012): Cornell LII page: https://www.law.cornell.edu/statutes/florida/FS776.012</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Wisconsin self-defense statute (Wis. Stat. § 939.48) (official Wisconsin Legislature site): https://docs.legis.wisconsin.gov/document/statutes/939.48</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Georgia HB 479 (2021) revising citizen’s arrest powers (official Georgia Governor PDF): https://gov.georgia.gov/document/2021-signed-legislation/hb-479/download</w:t>
      </w:r>
    </w:p>
    <w:p w:rsidR="00000000" w:rsidDel="00000000" w:rsidP="00000000" w:rsidRDefault="00000000" w:rsidRPr="00000000" w14:paraId="0000008B">
      <w:pPr>
        <w:pStyle w:val="Heading2"/>
        <w:rPr/>
      </w:pPr>
      <w:r w:rsidDel="00000000" w:rsidR="00000000" w:rsidRPr="00000000">
        <w:rPr>
          <w:rtl w:val="0"/>
        </w:rPr>
        <w:t xml:space="preserve">14.3 Model Penal Code reference (quoted in many jurisdictions and scholarship)</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Model Penal Code § 3.04 (use of force in self-protection) excerpted source (note: MPC text is copyrighted by ALI): https://opencasebook.org/casebooks/6141-tanaka-criminal-law-casebook/resources/12.2.1-model-penal-code-mpc-304-use-of-force-in-self-protection/</w:t>
      </w:r>
    </w:p>
    <w:p w:rsidR="00000000" w:rsidDel="00000000" w:rsidP="00000000" w:rsidRDefault="00000000" w:rsidRPr="00000000" w14:paraId="0000008D">
      <w:pPr>
        <w:pStyle w:val="Heading2"/>
        <w:rPr/>
      </w:pPr>
      <w:r w:rsidDel="00000000" w:rsidR="00000000" w:rsidRPr="00000000">
        <w:rPr>
          <w:rtl w:val="0"/>
        </w:rPr>
        <w:t xml:space="preserve">14.4 Scholarship highlighted in the sample materials</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Kimberly Kessler Ferzan, Taking Aim at Pointing Guns? Start with Citizen’s Arrest, Not Stand Your Ground (Texas Law Review Online, 2021): https://texaslawreview.org/taking-aim-at-pointing-guns-start-with-citizens-arrest-not-stand-your-ground/</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o6EvlxNSC6lWc6oKplI5lgizWA==">CgMxLjA4AHIhMWRVdjhCd05ydGFQaktNRzRhbmhyUEJkRkdBNktrZHIy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