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Injustice by Forensics: Reliability, Timeliness, and Systemic Reform</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0"/>
          <w:bCs w:val="0"/>
          <w:rtl w:val="0"/>
        </w:rPr>
        <w:t xml:space="preserve">Based on a TalksOnLaw interview with Prof. Brandon Garrett and Dr. Peter Stout on forensic science failures and criminal justice outcomes.</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1. Orientation: What This Course Covers (and Why It Matters)</w:t>
      </w:r>
    </w:p>
    <w:p w:rsidR="00000000" w:rsidDel="00000000" w:rsidP="00000000" w:rsidRDefault="00000000" w:rsidRPr="00000000" w14:paraId="00000005">
      <w:pPr>
        <w:rPr/>
      </w:pPr>
      <w:r w:rsidDel="00000000" w:rsidR="00000000" w:rsidRPr="00000000">
        <w:rPr>
          <w:rtl w:val="0"/>
        </w:rPr>
        <w:t xml:space="preserve">The interview frames forensic science as a pillar of the criminal legal system: it is expected to provide objective, technically grounded information to investigators, prosecutors, defense counsel, and courts. When forensic work is inaccurate, biased, or delayed, the harm is not limited to a single case—it can create systemic injustice, including wrongful convictions, wrongful detention, and compromised public safety.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Core thesis: “Having the right answer too late” can be nearly as harmful as having the wrong answer—because delay affects charging decisions, plea bargaining, and the right to a speedy trial.</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structure: The interview moves from concrete case studies to process failures (collection, analysis, reporting), then to legal standards of reliability (Daubert/Rule 702), and finally to reforms (accreditation, audits, blind testing, funding).</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1.1 Learning objectives (for participants)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how forensic laboratories are structured and why incentives and organizational placement (inside law enforcement vs independent) can affect objectivity and error risk.</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recurring failure modes: confirmation bias, inadequate quality control, high ‘inconclusive’ rates, insufficient proficiency testing, and backlogs.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reliability standards (Daubert and Federal Rule of Evidence 702) to forensic disciplines, with attention to error rates and validation.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how forensic results are communicated to courts and juries and how overstatement can mislead factfinders.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practice checklists to litigate forensic evidence: discovery requests, Daubert/Rule 702 motions, cross-examination, and record preservation.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 reform tools discussed: accreditation, independent audits, blind proficiency testing, adequate staffing, and timeliness metrics aligned with speedy-trial demands.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2. Case Studies Used in the Interview (and Why They Matter)</w:t>
      </w:r>
    </w:p>
    <w:p w:rsidR="00000000" w:rsidDel="00000000" w:rsidP="00000000" w:rsidRDefault="00000000" w:rsidRPr="00000000" w14:paraId="00000011">
      <w:pPr>
        <w:rPr/>
      </w:pPr>
      <w:r w:rsidDel="00000000" w:rsidR="00000000" w:rsidRPr="00000000">
        <w:rPr>
          <w:rtl w:val="0"/>
        </w:rPr>
        <w:t xml:space="preserve">The interview uses exonerations and lab scandals to illustrate how forensic errors can enter the system: faulty or overstated conclusions, weak quality controls, and delays in retesting or advanced methods. These case studies are not only stories; they provide templates for issue-spotting and for understanding institutional failure points.</w:t>
      </w:r>
    </w:p>
    <w:p w:rsidR="00000000" w:rsidDel="00000000" w:rsidP="00000000" w:rsidRDefault="00000000" w:rsidRPr="00000000" w14:paraId="00000012">
      <w:pPr>
        <w:pStyle w:val="Heading2"/>
        <w:rPr/>
      </w:pPr>
      <w:r w:rsidDel="00000000" w:rsidR="00000000" w:rsidRPr="00000000">
        <w:rPr>
          <w:rtl w:val="0"/>
        </w:rPr>
        <w:t xml:space="preserve">2.1 Houston crime lab failures and DNA retesting (Josiah Sutton; George Rodriguez)</w:t>
      </w:r>
    </w:p>
    <w:p w:rsidR="00000000" w:rsidDel="00000000" w:rsidP="00000000" w:rsidRDefault="00000000" w:rsidRPr="00000000" w14:paraId="00000013">
      <w:pPr>
        <w:rPr/>
      </w:pPr>
      <w:r w:rsidDel="00000000" w:rsidR="00000000" w:rsidRPr="00000000">
        <w:rPr>
          <w:rtl w:val="0"/>
        </w:rPr>
        <w:t xml:space="preserve">Dr. Stout discusses Houston as a jurisdiction with well-documented crime-lab issues that led to exonerations and systemic review. The Sutton and Rodriguez matters illustrate different failure modes: flawed testing and reporting, mistaken witness identification reinforced by weak forensic conclusions, and delayed corrective review.</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Josiah Sutton (Texas): convicted based in part on faulty DNA testing; later exonerated after retesting excluded him. The case became a catalyst for broader review of Houston lab practices.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George Rodriguez (Texas): convicted in part based on hair evidence later shown unreliable; DNA reexamination excluded him and contributed to exoneration and civil litigation outcomes.</w:t>
      </w: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2.2 “Inconclusive” does not mean “harmless”: Lydell Grant and mixture interpretation</w:t>
      </w:r>
    </w:p>
    <w:p w:rsidR="00000000" w:rsidDel="00000000" w:rsidP="00000000" w:rsidRDefault="00000000" w:rsidRPr="00000000" w14:paraId="00000017">
      <w:pPr>
        <w:rPr/>
      </w:pPr>
      <w:r w:rsidDel="00000000" w:rsidR="00000000" w:rsidRPr="00000000">
        <w:rPr>
          <w:rtl w:val="0"/>
        </w:rPr>
        <w:t xml:space="preserve">A major interview theme is that a lab report that calls evidence “inconclusive” can still shape a case. If jurors, attorneys, or judges treat inconclusive results as neutral—or worse, as implicitly inculpatory—then the label can function as a distortion. The interview links this to DNA mixtures, where traditional interpretation methods sometimes avoided exclusions and did not fully leverage later probabilistic approaches.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Lydell Grant (Texas): convicted largely on eyewitness testimony; DNA evidence under fingernails was reported as “inconclusive.” Post-conviction probabilistic genotyping and CODIS later excluded Grant and identified another contributor, leading to actual-innocence relief and dismissal.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The guests describe the systemic risk: inconclusive calls can delay the development of strong exculpatory evidence and can reduce pressure to investigate alternatives.</w:t>
      </w: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2.3 Pattern evidence and wrongful conviction narratives (bite marks; firearms/toolmarks)</w:t>
      </w:r>
    </w:p>
    <w:p w:rsidR="00000000" w:rsidDel="00000000" w:rsidP="00000000" w:rsidRDefault="00000000" w:rsidRPr="00000000" w14:paraId="0000001B">
      <w:pPr>
        <w:rPr/>
      </w:pPr>
      <w:r w:rsidDel="00000000" w:rsidR="00000000" w:rsidRPr="00000000">
        <w:rPr>
          <w:rtl w:val="0"/>
        </w:rPr>
        <w:t xml:space="preserve">The interview discusses pattern evidence disciplines (e.g., bite marks, firearms/toolmarks) where error rates, validation, and examiner subjectivity are central controversies. The interview emphasizes that juries can be powerfully influenced by expert testimony, especially when presented with confidence that is not supported by the underlying science.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Bite marks: the interview references cases where bite mark testimony appeared highly persuasive but later proved unreliable; these cases illustrate how a visually compelling narrative can override skepticism.</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Firearms/toolmarks: the interview references high inconclusive rates and instances where independent review contradicted a government lab’s conclusion about whether the same firearm was used.</w:t>
      </w: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3. How Forensic Evidence Moves Through the System (and Where Errors Enter)</w:t>
      </w:r>
    </w:p>
    <w:p w:rsidR="00000000" w:rsidDel="00000000" w:rsidP="00000000" w:rsidRDefault="00000000" w:rsidRPr="00000000" w14:paraId="0000001F">
      <w:pPr>
        <w:rPr/>
      </w:pPr>
      <w:r w:rsidDel="00000000" w:rsidR="00000000" w:rsidRPr="00000000">
        <w:rPr>
          <w:rtl w:val="0"/>
        </w:rPr>
        <w:t xml:space="preserve">The interview highlights that forensic evidence is not a single moment of ‘testing’—it is a chain of processes. Breakdowns in collection, labeling, chain-of-custody, analyst training, method validation, report writing, and courtroom communication can each create error or ambiguity.</w:t>
      </w:r>
    </w:p>
    <w:p w:rsidR="00000000" w:rsidDel="00000000" w:rsidP="00000000" w:rsidRDefault="00000000" w:rsidRPr="00000000" w14:paraId="00000020">
      <w:pPr>
        <w:pStyle w:val="Heading2"/>
        <w:rPr/>
      </w:pPr>
      <w:r w:rsidDel="00000000" w:rsidR="00000000" w:rsidRPr="00000000">
        <w:rPr>
          <w:rtl w:val="0"/>
        </w:rPr>
        <w:t xml:space="preserve">3.1 Collection, labeling, and chain-of-custody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Collection and packaging: contamination risk, commingling, and loss of context can prevent reliable later testing.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Labeling and documentation: mistakes can misattribute samples, undermine credibility, or trigger suppression/credibility challenges.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Submission context: overly suggestive narratives (e.g., “this is the suspect”) can increase confirmation bias risk; neutral submission forms reduce that risk.</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Preservation for retesting: even when a case is resolved by plea, preserving biological evidence and documentation is critical for later review.</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The interview emphasizes that objective evidence can reduce bias—only if it is collected, preserved, and analyzed under systems designed to surface error rather than hide it.</w:t>
      </w:r>
    </w:p>
    <w:p w:rsidR="00000000" w:rsidDel="00000000" w:rsidP="00000000" w:rsidRDefault="00000000" w:rsidRPr="00000000" w14:paraId="00000026">
      <w:pPr>
        <w:pStyle w:val="Heading2"/>
        <w:rPr/>
      </w:pPr>
      <w:r w:rsidDel="00000000" w:rsidR="00000000" w:rsidRPr="00000000">
        <w:rPr>
          <w:rtl w:val="0"/>
        </w:rPr>
        <w:t xml:space="preserve">3.2 Analysis and reporting: where overstatement happens</w:t>
      </w:r>
    </w:p>
    <w:p w:rsidR="00000000" w:rsidDel="00000000" w:rsidP="00000000" w:rsidRDefault="00000000" w:rsidRPr="00000000" w14:paraId="00000027">
      <w:pPr>
        <w:rPr/>
      </w:pPr>
      <w:r w:rsidDel="00000000" w:rsidR="00000000" w:rsidRPr="00000000">
        <w:rPr>
          <w:rtl w:val="0"/>
        </w:rPr>
        <w:t xml:space="preserve">The interview describes recurring reporting problems: results that are unclear, overstated conclusions, and informal or undocumented communications. These problems can make it difficult for counsel to assess reliability, replicate the analysis, or challenge the work.</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clarity: do not treat ‘inconclusive’ as a default; describe what was tested, what was observed, and what can and cannot be concluded.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Documentation: maintain contemporaneous notes, instrument outputs, and decision points (especially in subjective disciplines).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Error-rate communication: avoid categorical claims (“match,” “identification,” “cannot be excluded”) without explaining the method’s limitations and error rates.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Courtroom translation: ensure that expert testimony stays within the bounds of validated conclusions and does not imply certainty beyond the method.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4. Quality Control in Forensic Labs: Proficiency, Audits, Accreditation, and Blind Testing</w:t>
      </w:r>
    </w:p>
    <w:p w:rsidR="00000000" w:rsidDel="00000000" w:rsidP="00000000" w:rsidRDefault="00000000" w:rsidRPr="00000000" w14:paraId="0000002E">
      <w:pPr>
        <w:rPr/>
      </w:pPr>
      <w:r w:rsidDel="00000000" w:rsidR="00000000" w:rsidRPr="00000000">
        <w:rPr>
          <w:rtl w:val="0"/>
        </w:rPr>
        <w:t xml:space="preserve">The interview’s central reform theme is quality control. In many labs, quality systems exist on paper, but they may not be designed to detect real-world error. The interview discusses why routine proficiency testing can be too easy, why group testing undermines its value, and why blind testing and independent audits better measure actual performance.</w:t>
      </w:r>
    </w:p>
    <w:p w:rsidR="00000000" w:rsidDel="00000000" w:rsidP="00000000" w:rsidRDefault="00000000" w:rsidRPr="00000000" w14:paraId="0000002F">
      <w:pPr>
        <w:pStyle w:val="Heading2"/>
        <w:rPr/>
      </w:pPr>
      <w:r w:rsidDel="00000000" w:rsidR="00000000" w:rsidRPr="00000000">
        <w:rPr>
          <w:rtl w:val="0"/>
        </w:rPr>
        <w:t xml:space="preserve">4.1 Proficiency testing: why ‘pass/fail’ can be misleading</w:t>
      </w:r>
    </w:p>
    <w:p w:rsidR="00000000" w:rsidDel="00000000" w:rsidP="00000000" w:rsidRDefault="00000000" w:rsidRPr="00000000" w14:paraId="00000030">
      <w:pPr>
        <w:rPr/>
      </w:pPr>
      <w:r w:rsidDel="00000000" w:rsidR="00000000" w:rsidRPr="00000000">
        <w:rPr>
          <w:rtl w:val="0"/>
        </w:rPr>
        <w:t xml:space="preserve">The interview critiques common proficiency testing practices: tests can be designed to be easy, taken in groups, and scored in ways that do not surface near-misses or systematic drift. Even well-intentioned analysts can make educated guesses and still ‘pass’ under a weak testing regime.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Look for: how tests are designed; whether they mimic casework; whether analysts know they are being tested.</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 flags: group completion; overly simple samples; lack of graded feedback beyond pass/fail.</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Best practice direction: design tests that measure real-world decision points and capture near-misses, not just overt failures.</w:t>
      </w:r>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4.2 Blind testing and ‘black box’ studies: measuring performance realistically</w:t>
      </w:r>
    </w:p>
    <w:p w:rsidR="00000000" w:rsidDel="00000000" w:rsidP="00000000" w:rsidRDefault="00000000" w:rsidRPr="00000000" w14:paraId="00000035">
      <w:pPr>
        <w:rPr/>
      </w:pPr>
      <w:r w:rsidDel="00000000" w:rsidR="00000000" w:rsidRPr="00000000">
        <w:rPr>
          <w:rtl w:val="0"/>
        </w:rPr>
        <w:t xml:space="preserve">Blind testing places controlled samples into ordinary workflow so analysts do not know they are being tested. The interview describes blind testing as a practical way to evaluate laboratories under real-world conditions and to identify error sources (training gaps, ambiguous standards, or biased intake).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 controlled samples enter the same workflow, documentation, and review processes as normal casework.</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Benefit: measures the whole system—intake, analysis, peer review, reporting—rather than a narrow bench procedure.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Implementation challenge: requires staffing and management commitment; small labs may need external support.</w:t>
      </w: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4.3 Accreditation and the D.C. Department of Forensic Sciences example</w:t>
      </w:r>
    </w:p>
    <w:p w:rsidR="00000000" w:rsidDel="00000000" w:rsidP="00000000" w:rsidRDefault="00000000" w:rsidRPr="00000000" w14:paraId="0000003A">
      <w:pPr>
        <w:rPr/>
      </w:pPr>
      <w:r w:rsidDel="00000000" w:rsidR="00000000" w:rsidRPr="00000000">
        <w:rPr>
          <w:rtl w:val="0"/>
        </w:rPr>
        <w:t xml:space="preserve">The interview discusses accreditation as both a baseline and a signal: accreditation can impose procedural discipline, but it is not a guarantee of correctness. The D.C. DFS example illustrates how accreditation can be lost due to quality and disclosure problems, and how jurisdictions may rely on outsourcing and remediation to regain accredited status.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accreditation failures can reflect deeper problems such as documentation gaps, nonconformities, and inadequate corrective-action systems.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D.C. DFS lost laboratory accreditation in 2021; the agency later regained accreditation in key units (forensic biology and chemistry in late 2023) and announced reaccreditation of its Latent Fingerprint Unit in January 2025.</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accreditation status can directly affect charging decisions, outsourcing, and admissibility challenges; counsel should confirm the unit and scope of accreditation relevant to the evidence type.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5. Reliability Standards in Court: Daubert, Rule 702, and What ‘Reliable Application’ Means</w:t>
      </w:r>
    </w:p>
    <w:p w:rsidR="00000000" w:rsidDel="00000000" w:rsidP="00000000" w:rsidRDefault="00000000" w:rsidRPr="00000000" w14:paraId="00000040">
      <w:pPr>
        <w:rPr/>
      </w:pPr>
      <w:r w:rsidDel="00000000" w:rsidR="00000000" w:rsidRPr="00000000">
        <w:rPr>
          <w:rtl w:val="0"/>
        </w:rPr>
        <w:t xml:space="preserve">A major portion of the interview is devoted to the legal gatekeeping framework for expert evidence. Daubert and Federal Rule of Evidence 702 require courts to assess whether expert testimony is grounded in reliable principles and methods and reliably applied to the facts. The interview also discusses the concern that gatekeeping is often stricter in civil litigation than in criminal cases, despite higher liberty stakes in criminal matters.</w:t>
      </w:r>
    </w:p>
    <w:p w:rsidR="00000000" w:rsidDel="00000000" w:rsidP="00000000" w:rsidRDefault="00000000" w:rsidRPr="00000000" w14:paraId="00000041">
      <w:pPr>
        <w:pStyle w:val="Heading2"/>
        <w:rPr/>
      </w:pPr>
      <w:r w:rsidDel="00000000" w:rsidR="00000000" w:rsidRPr="00000000">
        <w:rPr>
          <w:rtl w:val="0"/>
        </w:rPr>
        <w:t xml:space="preserve">5.1 Daubert factors and Rule 702 requirements (high level)</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Testability: can the method be tested, and has it been tested under conditions resembling casework?</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Peer review/publication: what literature supports the method, and is it independent from the lab community’s self-validation?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Known or potential error rate: what is the empirically measured error rate (including false positives and false negatives)?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Standards and controls: are there objective standards governing analyst decisions, and are they enforced?</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acceptance: does the relevant scientific community accept the method, and is that acceptance based on evidence rather than tradition?</w:t>
      </w:r>
      <w:r w:rsidDel="00000000" w:rsidR="00000000" w:rsidRPr="00000000">
        <w:rPr>
          <w:rtl w:val="0"/>
        </w:rPr>
      </w:r>
    </w:p>
    <w:p w:rsidR="00000000" w:rsidDel="00000000" w:rsidP="00000000" w:rsidRDefault="00000000" w:rsidRPr="00000000" w14:paraId="00000047">
      <w:pPr>
        <w:pStyle w:val="Heading2"/>
        <w:rPr/>
      </w:pPr>
      <w:r w:rsidDel="00000000" w:rsidR="00000000" w:rsidRPr="00000000">
        <w:rPr>
          <w:rtl w:val="0"/>
        </w:rPr>
        <w:t xml:space="preserve">5.2 Up-to-date note: the 2023 amendment to Federal Rule of Evidence 702</w:t>
      </w:r>
    </w:p>
    <w:p w:rsidR="00000000" w:rsidDel="00000000" w:rsidP="00000000" w:rsidRDefault="00000000" w:rsidRPr="00000000" w14:paraId="00000048">
      <w:pPr>
        <w:rPr/>
      </w:pPr>
      <w:r w:rsidDel="00000000" w:rsidR="00000000" w:rsidRPr="00000000">
        <w:rPr>
          <w:rtl w:val="0"/>
        </w:rPr>
        <w:t xml:space="preserve">Since the period when many courts developed permissive habits under Rule 702, the Federal Rules were amended effective December 1, 2023. The Advisory Committee emphasized that the proponent of expert testimony must establish admissibility requirements by a preponderance of the evidence, and that each expert opinion must remain within the bounds of what can be concluded from a reliable application of the methodology.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Practical implication: expect renewed focus on whether an expert has reliably applied the method to the facts (not merely whether the method exists).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Litigation takeaway: frame motions and voir dire around each specific opinion (and each inferential step), not just the general discipline label.</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r w:rsidDel="00000000" w:rsidR="00000000" w:rsidRPr="00000000">
        <w:rPr>
          <w:rtl w:val="0"/>
        </w:rPr>
        <w:t xml:space="preserve">5.3 Criminal vs civil gatekeeping</w:t>
      </w:r>
    </w:p>
    <w:p w:rsidR="00000000" w:rsidDel="00000000" w:rsidP="00000000" w:rsidRDefault="00000000" w:rsidRPr="00000000" w14:paraId="0000004D">
      <w:pPr>
        <w:rPr/>
      </w:pPr>
      <w:r w:rsidDel="00000000" w:rsidR="00000000" w:rsidRPr="00000000">
        <w:rPr>
          <w:rtl w:val="0"/>
        </w:rPr>
        <w:t xml:space="preserve">The interview references scholarship suggesting that Daubert challenges may be more effective in civil cases (often with well-funded repeat-player defendants) than in criminal cases. For criminal practice, the interview emphasizes building a record: requesting data, method validation, error rates, and lab documentation.</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 Daubert/Rule 702 as a discovery-driven practice: you need underlying data, validation studies, and lab SOPs to litigate reliability.</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rely solely on cross-examination at trial; consider pretrial motions that force the court to make explicit findings.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evidence is ‘inconclusive,’ focus on what the analyst actually did and why the conclusion could not be reached—this may reveal method limits or quality issues.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6. Timeliness: Backlogs, Speedy Trial, and the Plea-Bargain System</w:t>
      </w:r>
    </w:p>
    <w:p w:rsidR="00000000" w:rsidDel="00000000" w:rsidP="00000000" w:rsidRDefault="00000000" w:rsidRPr="00000000" w14:paraId="00000053">
      <w:pPr>
        <w:rPr/>
      </w:pPr>
      <w:r w:rsidDel="00000000" w:rsidR="00000000" w:rsidRPr="00000000">
        <w:rPr>
          <w:rtl w:val="0"/>
        </w:rPr>
        <w:t xml:space="preserve">The interview underscores that timeliness is a constitutional and practical issue. Delays in forensic testing can prolong detention, pressure pleas, and impair defense investigation. The guests emphasize that forensic capacity must be aligned with statutory and constitutional time limits.</w:t>
      </w:r>
    </w:p>
    <w:p w:rsidR="00000000" w:rsidDel="00000000" w:rsidP="00000000" w:rsidRDefault="00000000" w:rsidRPr="00000000" w14:paraId="00000054">
      <w:pPr>
        <w:pStyle w:val="Heading2"/>
        <w:rPr/>
      </w:pPr>
      <w:r w:rsidDel="00000000" w:rsidR="00000000" w:rsidRPr="00000000">
        <w:rPr>
          <w:rtl w:val="0"/>
        </w:rPr>
        <w:t xml:space="preserve">6.1 “The right answer too late” problem</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Delays can drive plea bargains: defendants may accept pleas to avoid pretrial detention or to manage risk, even when later testing could have exculpated them.</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Evidence retesting may occur only after independent reviews, audits, or post-conviction efforts—often years later.</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Speedy-trial timelines can force choices between proceeding without lab results or delaying cases with serious liberty and public-safety consequences.</w:t>
      </w: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rtl w:val="0"/>
        </w:rPr>
        <w:t xml:space="preserve">6.2 Plea bargains and record limits</w:t>
      </w:r>
    </w:p>
    <w:p w:rsidR="00000000" w:rsidDel="00000000" w:rsidP="00000000" w:rsidRDefault="00000000" w:rsidRPr="00000000" w14:paraId="00000059">
      <w:pPr>
        <w:rPr/>
      </w:pPr>
      <w:r w:rsidDel="00000000" w:rsidR="00000000" w:rsidRPr="00000000">
        <w:rPr>
          <w:rtl w:val="0"/>
        </w:rPr>
        <w:t xml:space="preserve">The interview emphasizes a structural reality: most felony cases resolve by plea. That reduces judicial review of forensic evidence, and it can limit later appellate relief because appellate review is often confined to the record created in the original proceeding.</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Record preservation: if a case resolves by plea, ensure the record includes discovery requests, lab documentation issues, and any reliability disputes raised before the plea.</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Post-conviction barriers: many defendants lack resources for retesting, experts, or discovery; delays can destroy evidence or degrade samples.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implication: quality control at the lab level is essential because downstream review mechanisms are limited.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7. Funding, Staffing, and Organizational Independence</w:t>
      </w:r>
    </w:p>
    <w:p w:rsidR="00000000" w:rsidDel="00000000" w:rsidP="00000000" w:rsidRDefault="00000000" w:rsidRPr="00000000" w14:paraId="0000005F">
      <w:pPr>
        <w:rPr/>
      </w:pPr>
      <w:r w:rsidDel="00000000" w:rsidR="00000000" w:rsidRPr="00000000">
        <w:rPr>
          <w:rtl w:val="0"/>
        </w:rPr>
        <w:t xml:space="preserve">The interview discusses how funding and governance drive quality. Many publicly funded labs are embedded in law enforcement agencies and compete for resources with other public-safety priorities. Staffing shortages reduce the ability to conduct audits, peer review, and blind testing—creating conditions where errors can persist undetected.</w:t>
      </w:r>
    </w:p>
    <w:p w:rsidR="00000000" w:rsidDel="00000000" w:rsidP="00000000" w:rsidRDefault="00000000" w:rsidRPr="00000000" w14:paraId="00000060">
      <w:pPr>
        <w:pStyle w:val="Heading2"/>
        <w:rPr/>
      </w:pPr>
      <w:r w:rsidDel="00000000" w:rsidR="00000000" w:rsidRPr="00000000">
        <w:rPr>
          <w:rtl w:val="0"/>
        </w:rPr>
        <w:t xml:space="preserve">7.1 Funding and ‘low priority’ risk</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 point: labs often receive insufficient funding relative to their system role; underinvestment can create backlogs and reduce quality checks.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Budget reality: small labs may have fewer than a few dozen employees, limiting specialization and independent review.</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Cost of failure: scandals and wrongful convictions can produce enormous downstream costs (case dismissals, civil settlements, retesting programs, and loss of public trust).</w:t>
      </w:r>
      <w:r w:rsidDel="00000000" w:rsidR="00000000" w:rsidRPr="00000000">
        <w:rPr>
          <w:rtl w:val="0"/>
        </w:rPr>
      </w:r>
    </w:p>
    <w:p w:rsidR="00000000" w:rsidDel="00000000" w:rsidP="00000000" w:rsidRDefault="00000000" w:rsidRPr="00000000" w14:paraId="00000064">
      <w:pPr>
        <w:pStyle w:val="Heading2"/>
        <w:rPr/>
      </w:pPr>
      <w:r w:rsidDel="00000000" w:rsidR="00000000" w:rsidRPr="00000000">
        <w:rPr>
          <w:rtl w:val="0"/>
        </w:rPr>
        <w:t xml:space="preserve">7.2 Independence models and oversight</w:t>
      </w:r>
    </w:p>
    <w:p w:rsidR="00000000" w:rsidDel="00000000" w:rsidP="00000000" w:rsidRDefault="00000000" w:rsidRPr="00000000" w14:paraId="00000065">
      <w:pPr>
        <w:rPr/>
      </w:pPr>
      <w:r w:rsidDel="00000000" w:rsidR="00000000" w:rsidRPr="00000000">
        <w:rPr>
          <w:rtl w:val="0"/>
        </w:rPr>
        <w:t xml:space="preserve">The interview suggests that structural independence can reduce bias risk and improve transparency. Independent forensic science centers and external oversight bodies can help align labs with scientific standards rather than adversarial incentives.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Governance: independent boards, scientific leadership, and transparent QA systems can reduce confirmation bias and documentation failures.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Oversight: routine external audits and public reporting of error rates and corrective actions can create accountability.</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Culture: labs need systems that reward identifying and correcting errors, not hiding them.</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8. Practitioner Tools: Checklists, Motions, and Cross-Examination</w:t>
      </w:r>
    </w:p>
    <w:p w:rsidR="00000000" w:rsidDel="00000000" w:rsidP="00000000" w:rsidRDefault="00000000" w:rsidRPr="00000000" w14:paraId="0000006B">
      <w:pPr>
        <w:rPr/>
      </w:pPr>
      <w:r w:rsidDel="00000000" w:rsidR="00000000" w:rsidRPr="00000000">
        <w:rPr>
          <w:rtl w:val="0"/>
        </w:rPr>
        <w:t xml:space="preserve">This section is designed to reduce note-taking. It translates the interview’s themes into concrete litigation steps for prosecutors, defense counsel, and courts.</w:t>
      </w:r>
    </w:p>
    <w:p w:rsidR="00000000" w:rsidDel="00000000" w:rsidP="00000000" w:rsidRDefault="00000000" w:rsidRPr="00000000" w14:paraId="0000006C">
      <w:pPr>
        <w:pStyle w:val="Heading2"/>
        <w:rPr/>
      </w:pPr>
      <w:r w:rsidDel="00000000" w:rsidR="00000000" w:rsidRPr="00000000">
        <w:rPr>
          <w:rtl w:val="0"/>
        </w:rPr>
        <w:t xml:space="preserve">8.1 Discovery checklist for forensic evidence</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Laboratory scope: unit, discipline, and accreditation status for the relevant period; any nonconformities and corrective-action reports.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SOPs and validation: standard operating procedures, validation studies, instrument calibration records, and uncertainty/error-rate data.</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Analyst records: bench notes, worksheets, case file, chain-of-custody logs, peer review notes, and any communications outside the formal report.</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Proficiency and competency: analyst training history, proficiency test performance, and any prior substantiated errors/misconduct.</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Reporting language: policies on “match,” “cannot exclude,” “inconclusive,” and statistical weight statements.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Underlying data: raw data files (electropherograms for DNA; images/measurements for pattern evidence; comparison matrices where applicable).</w:t>
      </w:r>
      <w:r w:rsidDel="00000000" w:rsidR="00000000" w:rsidRPr="00000000">
        <w:rPr>
          <w:rtl w:val="0"/>
        </w:rPr>
      </w:r>
    </w:p>
    <w:p w:rsidR="00000000" w:rsidDel="00000000" w:rsidP="00000000" w:rsidRDefault="00000000" w:rsidRPr="00000000" w14:paraId="00000073">
      <w:pPr>
        <w:pStyle w:val="Heading2"/>
        <w:rPr/>
      </w:pPr>
      <w:r w:rsidDel="00000000" w:rsidR="00000000" w:rsidRPr="00000000">
        <w:rPr>
          <w:rtl w:val="0"/>
        </w:rPr>
        <w:t xml:space="preserve">8.2 Motion practice: Daubert/Rule 702 framework</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discipline validated for the specific proposition offered (not just ‘general acceptance’)?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empirical error rate under black-box or proficiency studies resembling casework?</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there objective standards controlling examiner decisions (or is it largely subjective)?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 the expert apply the method reliably to this evidence (sample quality, mixture complexity, comparison limitations)?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testimony overstate certainty (absolute identification, zero error, “scientific certainty” language)?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conclusion is “inconclusive,” what inferences (if any) are being implied, and are those supported?</w:t>
      </w:r>
      <w:r w:rsidDel="00000000" w:rsidR="00000000" w:rsidRPr="00000000">
        <w:rPr>
          <w:rtl w:val="0"/>
        </w:rPr>
      </w:r>
    </w:p>
    <w:p w:rsidR="00000000" w:rsidDel="00000000" w:rsidP="00000000" w:rsidRDefault="00000000" w:rsidRPr="00000000" w14:paraId="0000007A">
      <w:pPr>
        <w:pStyle w:val="Heading2"/>
        <w:rPr/>
      </w:pPr>
      <w:r w:rsidDel="00000000" w:rsidR="00000000" w:rsidRPr="00000000">
        <w:rPr>
          <w:rtl w:val="0"/>
        </w:rPr>
        <w:t xml:space="preserve">8.3 Cross-examination questions</w:t>
      </w:r>
    </w:p>
    <w:p w:rsidR="00000000" w:rsidDel="00000000" w:rsidP="00000000" w:rsidRDefault="00000000" w:rsidRPr="00000000" w14:paraId="0000007B">
      <w:pPr>
        <w:rPr/>
      </w:pPr>
      <w:r w:rsidDel="00000000" w:rsidR="00000000" w:rsidRPr="00000000">
        <w:rPr>
          <w:rtl w:val="0"/>
        </w:rPr>
        <w:t xml:space="preserve">A. Method and validation</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validation studies support this method under conditions similar to this case?</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measured error rate (false positives/false negatives) and where is it published?</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standards govern your decision points, and how are they enforced?</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often are your conclusions audited or verified independently?</w:t>
      </w:r>
    </w:p>
    <w:p w:rsidR="00000000" w:rsidDel="00000000" w:rsidP="00000000" w:rsidRDefault="00000000" w:rsidRPr="00000000" w14:paraId="00000080">
      <w:pPr>
        <w:rPr/>
      </w:pPr>
      <w:r w:rsidDel="00000000" w:rsidR="00000000" w:rsidRPr="00000000">
        <w:rPr>
          <w:rtl w:val="0"/>
        </w:rPr>
        <w:t xml:space="preserve">B. Casework application</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was the quality and quantity of the sample? What limitations did you document?</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alternative explanations did you consider (contamination, secondary transfer, mixture ambiguity)?</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 you receive contextual information that could bias interpretation, and how does your lab mitigate that?</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steps were taken for peer review, and did the reviewer have access to the same information?</w:t>
      </w:r>
    </w:p>
    <w:p w:rsidR="00000000" w:rsidDel="00000000" w:rsidP="00000000" w:rsidRDefault="00000000" w:rsidRPr="00000000" w14:paraId="00000085">
      <w:pPr>
        <w:rPr/>
      </w:pPr>
      <w:r w:rsidDel="00000000" w:rsidR="00000000" w:rsidRPr="00000000">
        <w:rPr>
          <w:rtl w:val="0"/>
        </w:rPr>
        <w:t xml:space="preserve">C. Reporting language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does ‘inconclusive’ mean in your lab? Does it mean ‘no information,’ or ‘insufficient information to include or exclude’?</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 you make any informal notes or communications not captured in the report?</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you able to quantify the strength of the evidence, or is the conclusion categorical?</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1"/>
        <w:rPr/>
      </w:pPr>
      <w:r w:rsidDel="00000000" w:rsidR="00000000" w:rsidRPr="00000000">
        <w:rPr>
          <w:rtl w:val="0"/>
        </w:rPr>
        <w:t xml:space="preserve">9. Reform Roadmap: What the Interview Suggests</w:t>
      </w:r>
    </w:p>
    <w:p w:rsidR="00000000" w:rsidDel="00000000" w:rsidP="00000000" w:rsidRDefault="00000000" w:rsidRPr="00000000" w14:paraId="0000008B">
      <w:pPr>
        <w:rPr/>
      </w:pPr>
      <w:r w:rsidDel="00000000" w:rsidR="00000000" w:rsidRPr="00000000">
        <w:rPr>
          <w:rtl w:val="0"/>
        </w:rPr>
        <w:t xml:space="preserve">The interview’s reform agenda is pragmatic: build systems that detect error, prevent bias, and deliver results on timelines consistent with constitutional and practical demands. The reforms below are framed as levers that can be implemented at lab, prosecutor, and court levels.</w:t>
      </w:r>
    </w:p>
    <w:p w:rsidR="00000000" w:rsidDel="00000000" w:rsidP="00000000" w:rsidRDefault="00000000" w:rsidRPr="00000000" w14:paraId="0000008C">
      <w:pPr>
        <w:pStyle w:val="Heading2"/>
        <w:rPr/>
      </w:pPr>
      <w:r w:rsidDel="00000000" w:rsidR="00000000" w:rsidRPr="00000000">
        <w:rPr>
          <w:rtl w:val="0"/>
        </w:rPr>
        <w:t xml:space="preserve">9.1 Lab reforms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Strengthen proficiency testing: make it casework-like, scored in detail, and individual—not group-based.</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blind testing and routine independent audits.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Improve documentation: enforce contemporaneous notes, transparent decision points, and retention of underlying data.</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Adopt clear reporting language and guardrails against overstatement.</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 in staffing and training sufficient to maintain QA, peer review, and timely processing.</w:t>
      </w:r>
    </w:p>
    <w:p w:rsidR="00000000" w:rsidDel="00000000" w:rsidP="00000000" w:rsidRDefault="00000000" w:rsidRPr="00000000" w14:paraId="00000092">
      <w:pPr>
        <w:pStyle w:val="Heading2"/>
        <w:rPr/>
      </w:pPr>
      <w:r w:rsidDel="00000000" w:rsidR="00000000" w:rsidRPr="00000000">
        <w:rPr>
          <w:rtl w:val="0"/>
        </w:rPr>
        <w:t xml:space="preserve">9.2 System reforms (courts, prosecutors, defense)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Courts: apply Rule 702/Daubert rigorously with explicit findings; prevent overstatement; require disclosure of error rates and limitations where available.</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Prosecutors: support independent lab structures; disclose lab problems proactively; avoid presenting ‘inconclusive’ results as inculpatory.</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Defense: build records early; request raw data and validation; consider independent experts; preserve evidence for retesting.</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align funding with systemic importance; treat lab reliability as a public-safety and civil-rights issue.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1"/>
        <w:rPr/>
      </w:pPr>
      <w:r w:rsidDel="00000000" w:rsidR="00000000" w:rsidRPr="00000000">
        <w:rPr>
          <w:rtl w:val="0"/>
        </w:rPr>
        <w:t xml:space="preserve">10. Updates and Resources (Keep Original Sources; Add Limited Up-to-Date Authorities)</w:t>
      </w:r>
    </w:p>
    <w:p w:rsidR="00000000" w:rsidDel="00000000" w:rsidP="00000000" w:rsidRDefault="00000000" w:rsidRPr="00000000" w14:paraId="00000099">
      <w:pPr>
        <w:rPr/>
      </w:pPr>
      <w:r w:rsidDel="00000000" w:rsidR="00000000" w:rsidRPr="00000000">
        <w:rPr>
          <w:rtl w:val="0"/>
        </w:rPr>
        <w:t xml:space="preserve">The original written materials include case references and reporting links. The list below preserves those resources and adds a small set of current, authoritative materials to reflect developments since the original outline (e.g., Rule 702 amendments and D.C. DFS reaccreditation announcements).</w:t>
      </w:r>
    </w:p>
    <w:p w:rsidR="00000000" w:rsidDel="00000000" w:rsidP="00000000" w:rsidRDefault="00000000" w:rsidRPr="00000000" w14:paraId="0000009A">
      <w:pPr>
        <w:pStyle w:val="Heading2"/>
        <w:rPr/>
      </w:pPr>
      <w:r w:rsidDel="00000000" w:rsidR="00000000" w:rsidRPr="00000000">
        <w:rPr>
          <w:rtl w:val="0"/>
        </w:rPr>
        <w:t xml:space="preserve">10.1 Original resources referenced in the sample materials (preserved)</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Sutton v. State (Tex. App. Jan. 18, 2001) (DNA retesting issues).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Rodriguez v. State, 766 S.W.2d 358 (Tex. Ct. App. 1989) and related reporting on the Houston lab.</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Registry of Exonerations case pages (Lydell Grant; Keith Harward).</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NPR and WTOP reporting on the D.C. forensics lab accreditation issues and oversight.</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Boston Globe reporting on the Annie Dookhan drug lab scandal and ongoing fallout.</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Houston Chronicle / Chron reporting on wrongful imprisonment settlements and exonerations.</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Daubert v. Merrell Dow Pharmaceuticals, Inc., 509 U.S. 579 (1993) and Federal Rule of Evidence 702.</w:t>
      </w:r>
    </w:p>
    <w:p w:rsidR="00000000" w:rsidDel="00000000" w:rsidP="00000000" w:rsidRDefault="00000000" w:rsidRPr="00000000" w14:paraId="000000A2">
      <w:pPr>
        <w:pStyle w:val="Heading2"/>
        <w:rPr/>
      </w:pPr>
      <w:r w:rsidDel="00000000" w:rsidR="00000000" w:rsidRPr="00000000">
        <w:rPr>
          <w:rtl w:val="0"/>
        </w:rPr>
        <w:t xml:space="preserve">10.2 Up-to-date reference points (authoritative and similar category)</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Federal Rule of Evidence 702 (current rule text and committee notes) (Cornell LII): https://www.law.cornell.edu/rules/fre/rule_702</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D.C. DFS accreditation status and announcements (official DC.gov): https://dfs.dc.gov/</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Mayor Bowser release on DFS Latent Fingerprint Unit reaccreditation (Jan. 24, 2025): https://mayor.dc.gov/release/mayor-bowser-announces-reaccreditation-dc-department-forensic-sciences-latent-fingerprint</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NIJ forensic ‘black box’ studies and error-rate discussions (example: bloodstain pattern analysis): https://nij.ojp.gov/topics/articles/study-reports-error-rates-bloodstain-pattern-analysis</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Innocence Project (Josiah Sutton) case page: https://innocenceproject.org/cases/josiah-sutton/</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Innocence Texas (Lydell Grant) case page: https://innocencetexas.org/cases/lydell-grant-2/</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NPTNbpfJCk5rimt52Xj8pHyQQ==">CgMxLjA4AHIhMWt2b2VDZUhGbUczU293dWhKTFM0eVEwNjlDeXFxamxJ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