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120"/>
        <w:jc w:val="center"/>
      </w:pPr>
      <w:r>
        <w:rPr>
          <w:b/>
          <w:sz w:val="32"/>
        </w:rPr>
        <w:t>Continuing Legal Education Written Materials</w:t>
      </w:r>
    </w:p>
    <w:p>
      <w:pPr>
        <w:spacing w:before="0" w:after="120"/>
        <w:jc w:val="center"/>
      </w:pPr>
      <w:r>
        <w:rPr>
          <w:b/>
          <w:sz w:val="32"/>
        </w:rPr>
        <w:t>After the Data Breach: Legal Obligations, Risk, and Practical Response</w:t>
      </w:r>
    </w:p>
    <w:p>
      <w:pPr>
        <w:spacing w:before="0" w:after="120"/>
        <w:jc w:val="center"/>
      </w:pPr>
      <w:r>
        <w:rPr>
          <w:i/>
          <w:sz w:val="22"/>
        </w:rPr>
        <w:t>Based on a 1-hour TalksOnLaw interview between host Joel Cohen and guest Michelle Reed (Akin Gump) on data breaches and cybersecurity response.</w:t>
      </w:r>
    </w:p>
    <w:p>
      <w:pPr>
        <w:pStyle w:val="Heading1"/>
        <w:spacing w:before="0" w:after="120"/>
      </w:pPr>
      <w:r>
        <w:t>1. Orientation: Why Breaches Are Common — and Why Preparedness Matters</w:t>
      </w:r>
    </w:p>
    <w:p>
      <w:pPr>
        <w:spacing w:before="0" w:after="120"/>
      </w:pPr>
      <w:r>
        <w:t>The interview opens with the premise that modern organizations operate in a threat environment where cybersecurity incidents are common and true data breaches are a persistent business risk. The core message is that the legal exposure rarely turns on whether an incident happened; it turns on how an organization prepared, detected, investigated, documented, and responded.</w:t>
      </w:r>
    </w:p>
    <w:p>
      <w:pPr>
        <w:pStyle w:val="ListBullet"/>
        <w:spacing w:before="0" w:after="120"/>
      </w:pPr>
      <w:r>
        <w:t>Insight: Cybersecurity law has matured from being mostly privacy-notice focused to including affirmative security, governance, and reporting expectations (from regulators, customers, counterparties, and plaintiffs).</w:t>
      </w:r>
    </w:p>
    <w:p>
      <w:pPr>
        <w:pStyle w:val="ListBullet"/>
        <w:spacing w:before="0" w:after="120"/>
      </w:pPr>
      <w:r>
        <w:t>Example: In practice, post-incident questions often focus on whether security controls were “reasonable,” whether response decisions were timely, and whether the organization can explain its timeline and judgment calls.</w:t>
      </w:r>
    </w:p>
    <w:p>
      <w:pPr>
        <w:pStyle w:val="ListBullet"/>
        <w:spacing w:before="0" w:after="120"/>
      </w:pPr>
      <w:r>
        <w:t>Insight: Organizations should plan for the likelihood that any meaningful breach will trigger multiple audiences: regulators, customers, investors, business partners, and potentially plaintiffs’ counsel.</w:t>
      </w:r>
    </w:p>
    <w:p>
      <w:pPr>
        <w:pStyle w:val="ListBullet"/>
        <w:spacing w:before="0" w:after="120"/>
      </w:pPr>
      <w:r>
        <w:t>Example: Even when statutory notice is not required (e.g., limited data types), a breach can still create contractual reporting duties, regulatory scrutiny, or disclosure questions in an M&amp;A or financing context.</w:t>
      </w:r>
    </w:p>
    <w:p>
      <w:pPr>
        <w:pStyle w:val="Heading1"/>
        <w:spacing w:before="0" w:after="120"/>
      </w:pPr>
      <w:r>
        <w:t>2. Key Definitions: Incident vs. Breach vs. Material Event</w:t>
      </w:r>
    </w:p>
    <w:p>
      <w:pPr>
        <w:spacing w:before="0" w:after="120"/>
      </w:pPr>
      <w:r>
        <w:t>A recurring theme in the interview is that terminology matters because different labels drive different obligations.</w:t>
      </w:r>
    </w:p>
    <w:p>
      <w:pPr>
        <w:pStyle w:val="ListBullet"/>
        <w:spacing w:before="0" w:after="120"/>
      </w:pPr>
      <w:r>
        <w:t>Cybersecurity incident: Any event that jeopardizes confidentiality, integrity, or availability of information systems or data (including unsuccessful attacks or suspicious activity).</w:t>
      </w:r>
    </w:p>
    <w:p>
      <w:pPr>
        <w:pStyle w:val="ListBullet"/>
        <w:spacing w:before="0" w:after="120"/>
      </w:pPr>
      <w:r>
        <w:t>Data breach (in the classic privacy-law sense): Unauthorized acquisition or access to certain categories of personal information (definitions vary by statute and jurisdiction).</w:t>
      </w:r>
    </w:p>
    <w:p>
      <w:pPr>
        <w:pStyle w:val="ListBullet"/>
        <w:spacing w:before="0" w:after="120"/>
      </w:pPr>
      <w:r>
        <w:t>Reportable event: An incident that triggers a notification obligation under a specific legal, regulatory, contractual, or policy framework (state breach-notice statutes; HIPAA/HITECH; sector regulations; or contractual security addenda).</w:t>
      </w:r>
    </w:p>
    <w:p>
      <w:pPr>
        <w:pStyle w:val="ListBullet"/>
        <w:spacing w:before="0" w:after="120"/>
      </w:pPr>
      <w:r>
        <w:t>Material cybersecurity incident (securities law context): A cybersecurity incident that is material to investors under applicable securities standards, potentially requiring public-company disclosure.</w:t>
      </w:r>
    </w:p>
    <w:p>
      <w:pPr>
        <w:pStyle w:val="ListBullet"/>
        <w:spacing w:before="0" w:after="120"/>
      </w:pPr>
      <w:r>
        <w:t>Insight: Many organizations see thousands of security incidents but relatively few incidents that meet the statutory definition of a reportable breach.</w:t>
      </w:r>
    </w:p>
    <w:p>
      <w:pPr>
        <w:pStyle w:val="ListBullet"/>
        <w:spacing w:before="0" w:after="120"/>
      </w:pPr>
      <w:r>
        <w:t>Example: This distinction is important for governance: security teams need clear escalation thresholds for when an event becomes a legal/compliance issue requiring counsel and executive involvement.</w:t>
      </w:r>
    </w:p>
    <w:p>
      <w:pPr>
        <w:pStyle w:val="Heading1"/>
        <w:spacing w:before="0" w:after="120"/>
      </w:pPr>
      <w:r>
        <w:t>3. The First 24–72 Hours: A Practical Response Playbook</w:t>
      </w:r>
    </w:p>
    <w:p>
      <w:pPr>
        <w:spacing w:before="0" w:after="120"/>
      </w:pPr>
      <w:r>
        <w:t>The interview emphasizes that the earliest decisions shape the rest of the response. The goal is to stabilize systems, preserve evidence, create a defensible record, and build the right cross-functional team.</w:t>
      </w:r>
    </w:p>
    <w:p>
      <w:pPr>
        <w:pStyle w:val="Heading2"/>
        <w:spacing w:before="0" w:after="120"/>
      </w:pPr>
      <w:r>
        <w:t>3.1 Activate an Incident Response Team (IRT)</w:t>
      </w:r>
    </w:p>
    <w:p>
      <w:pPr>
        <w:pStyle w:val="ListBullet"/>
        <w:spacing w:before="0" w:after="120"/>
      </w:pPr>
      <w:r>
        <w:t>Identify an incident commander (often the CISO, Head of Security, or designated IR lead).</w:t>
      </w:r>
    </w:p>
    <w:p>
      <w:pPr>
        <w:pStyle w:val="ListBullet"/>
        <w:spacing w:before="0" w:after="120"/>
      </w:pPr>
      <w:r>
        <w:t>Bring in legal early to coordinate privilege, preservation, notification analysis, and regulator strategy.</w:t>
      </w:r>
    </w:p>
    <w:p>
      <w:pPr>
        <w:pStyle w:val="ListBullet"/>
        <w:spacing w:before="0" w:after="120"/>
      </w:pPr>
      <w:r>
        <w:t>Include IT/engineering, compliance, privacy, HR (if employee data), communications/PR, and business leadership as appropriate.</w:t>
      </w:r>
    </w:p>
    <w:p>
      <w:pPr>
        <w:pStyle w:val="ListBullet"/>
        <w:spacing w:before="0" w:after="120"/>
      </w:pPr>
      <w:r/>
      <w:r>
        <w:t>Decide escalation thresholds and who should be informed (based on governance, insurance requirements, and any applicable contractual/regulatory duties).</w:t>
      </w:r>
    </w:p>
    <w:p>
      <w:pPr>
        <w:pStyle w:val="ListBullet"/>
        <w:spacing w:before="0" w:after="120"/>
      </w:pPr>
      <w:r>
        <w:t>Insight: Tabletop exercises help the security team learn when to “report up” and help executives understand their roles.</w:t>
      </w:r>
    </w:p>
    <w:p>
      <w:pPr>
        <w:pStyle w:val="ListBullet"/>
        <w:spacing w:before="0" w:after="120"/>
      </w:pPr>
      <w:r>
        <w:t>Example: The interview notes that tabletop scenarios should involve not only security staff but also executive leadership.</w:t>
      </w:r>
    </w:p>
    <w:p>
      <w:pPr>
        <w:pStyle w:val="Heading2"/>
        <w:spacing w:before="0" w:after="120"/>
      </w:pPr>
      <w:r>
        <w:t>3.2 Preserve Attorney-Client Privilege and Work-Product Protection</w:t>
      </w:r>
    </w:p>
    <w:p>
      <w:pPr>
        <w:spacing w:before="0" w:after="120"/>
      </w:pPr>
      <w:r>
        <w:t>Michelle Reed underscores a common best practice: engage outside counsel early and have outside counsel retain key vendors (forensics, crisis communications) where appropriate to support privilege and work-product arguments.</w:t>
      </w:r>
    </w:p>
    <w:p>
      <w:pPr>
        <w:pStyle w:val="ListBullet"/>
        <w:spacing w:before="0" w:after="120"/>
      </w:pPr>
      <w:r>
        <w:t>Insight: If an investigation is likely to lead to litigation or regulatory scrutiny, organizations often structure response workstreams through counsel to help preserve privilege.</w:t>
      </w:r>
    </w:p>
    <w:p>
      <w:pPr>
        <w:pStyle w:val="ListBullet"/>
        <w:spacing w:before="0" w:after="120"/>
      </w:pPr>
      <w:r>
        <w:t>Example: Outside counsel can retain forensic investigators and PR/crisis firms to support a legal investigation, while still ensuring operational remediation proceeds.</w:t>
      </w:r>
    </w:p>
    <w:p>
      <w:pPr>
        <w:spacing w:before="0" w:after="120"/>
      </w:pPr>
      <w:r>
        <w:t>Practice note: privilege is not automatic. Courts scrutinize whether vendors were retained primarily to provide legal advice versus ordinary business services. Counsel should document the purpose and scope of each engagement and keep distribution lists tight.</w:t>
      </w:r>
    </w:p>
    <w:p>
      <w:pPr>
        <w:pStyle w:val="Heading2"/>
        <w:spacing w:before="0" w:after="120"/>
      </w:pPr>
      <w:r>
        <w:t>3.3 Engage Forensics and Containment Teams</w:t>
      </w:r>
    </w:p>
    <w:p>
      <w:pPr>
        <w:pStyle w:val="ListBullet"/>
        <w:spacing w:before="0" w:after="120"/>
      </w:pPr>
      <w:r>
        <w:t>Confirm what happened (attack vector, timeline, scope) and whether data was accessed, exfiltrated, or altered.</w:t>
      </w:r>
    </w:p>
    <w:p>
      <w:pPr>
        <w:pStyle w:val="ListBullet"/>
        <w:spacing w:before="0" w:after="120"/>
      </w:pPr>
      <w:r>
        <w:t>Contain the threat without destroying evidence (coordinate system changes with forensics).</w:t>
      </w:r>
    </w:p>
    <w:p>
      <w:pPr>
        <w:pStyle w:val="ListBullet"/>
        <w:spacing w:before="0" w:after="120"/>
      </w:pPr>
      <w:r>
        <w:t>Assess persistence and lateral movement (e.g., compromised credentials, remote access tools).</w:t>
      </w:r>
    </w:p>
    <w:p>
      <w:pPr>
        <w:pStyle w:val="ListBullet"/>
        <w:spacing w:before="0" w:after="120"/>
      </w:pPr>
      <w:r>
        <w:t>Preserve logs and images; implement legal holds where appropriate.</w:t>
      </w:r>
    </w:p>
    <w:p>
      <w:pPr>
        <w:pStyle w:val="ListBullet"/>
        <w:spacing w:before="0" w:after="120"/>
      </w:pPr>
      <w:r>
        <w:t>Insight: The interview describes a typical workflow: security detects an alert, investigates, escalates to counsel for significant incidents, and then forensics are brought in to determine scope and impact.</w:t>
      </w:r>
    </w:p>
    <w:p>
      <w:pPr>
        <w:pStyle w:val="ListBullet"/>
        <w:spacing w:before="0" w:after="120"/>
      </w:pPr>
      <w:r>
        <w:t>Example: Forensic findings drive the legal analysis for notification, contractual obligations, and disclosure decisions.</w:t>
      </w:r>
    </w:p>
    <w:p>
      <w:pPr>
        <w:pStyle w:val="Heading2"/>
        <w:spacing w:before="0" w:after="120"/>
      </w:pPr>
      <w:r>
        <w:t>3.4 Coordinate With Insurers and Pre-Approved Vendors</w:t>
      </w:r>
    </w:p>
    <w:p>
      <w:pPr>
        <w:spacing w:before="0" w:after="120"/>
      </w:pPr>
      <w:r>
        <w:t>Cyber insurance can fund significant parts of response (forensics, counsel, notifications, credit monitoring, and restoration), but policies often require prompt notice and may constrain vendor choice.</w:t>
      </w:r>
    </w:p>
    <w:p>
      <w:pPr>
        <w:pStyle w:val="ListBullet"/>
        <w:spacing w:before="0" w:after="120"/>
      </w:pPr>
      <w:r>
        <w:t>Insight: The interview notes that organizations sometimes hesitate to notify insurers out of concern for premium increases, but loss and severity often matter more than mere reporting.</w:t>
      </w:r>
    </w:p>
    <w:p>
      <w:pPr>
        <w:pStyle w:val="ListBullet"/>
        <w:spacing w:before="0" w:after="120"/>
      </w:pPr>
      <w:r>
        <w:t>Example: Planning in advance helps you clarify when to notify when to notify, how to use insurer panels, and how to manage costs.</w:t>
      </w:r>
    </w:p>
    <w:p>
      <w:pPr>
        <w:pStyle w:val="Heading2"/>
        <w:spacing w:before="0" w:after="120"/>
      </w:pPr>
      <w:r>
        <w:t>3.5 Consider Trading Windows and MNPI Controls (Public/Regulated Companies)</w:t>
      </w:r>
    </w:p>
    <w:p>
      <w:pPr>
        <w:spacing w:before="0" w:after="120"/>
      </w:pPr>
      <w:r>
        <w:t>A practical point raised in the interview: if an incident could be material nonpublic information, organizations should consider restricting trading by insiders who are “in the know” during investigation and response.</w:t>
      </w:r>
    </w:p>
    <w:p>
      <w:pPr>
        <w:spacing w:before="0" w:after="120"/>
      </w:pPr>
      <w:r/>
      <w:r>
        <w:t>• Coordinate with securities counsel and compliance teams.</w:t>
      </w:r>
    </w:p>
    <w:p>
      <w:pPr>
        <w:spacing w:before="0" w:after="120"/>
      </w:pPr>
      <w:r/>
      <w:r>
        <w:t>• Document the rationale for any trading restrictions or blackout windows.</w:t>
      </w:r>
    </w:p>
    <w:p>
      <w:pPr>
        <w:spacing w:before="0" w:after="120"/>
      </w:pPr>
      <w:r/>
      <w:r>
        <w:t>• Monitor communications to avoid selective disclosure.</w:t>
      </w:r>
    </w:p>
    <w:p>
      <w:pPr>
        <w:spacing w:before="0" w:after="120"/>
      </w:pPr>
      <w:r>
        <w:br w:type="page"/>
      </w:r>
    </w:p>
    <w:p>
      <w:pPr>
        <w:pStyle w:val="Heading1"/>
        <w:spacing w:before="0" w:after="120"/>
      </w:pPr>
      <w:r>
        <w:t>4. Notification and Reporting: A Framework for Working Through the Patchwork</w:t>
      </w:r>
    </w:p>
    <w:p>
      <w:pPr>
        <w:spacing w:before="0" w:after="120"/>
      </w:pPr>
      <w:r>
        <w:t>The interview highlights that breach response often involves a patchwork of state, federal, and international requirements, plus contract-based notice duties. A disciplined analysis usually proceeds in this order: (1) identify data types and affected populations; (2) map jurisdictions and sectoral rules; (3) apply statutory triggers and timing; (4) assess contractual duties; and (5) coordinate messaging and documentation.</w:t>
      </w:r>
    </w:p>
    <w:p>
      <w:pPr>
        <w:pStyle w:val="Heading2"/>
        <w:spacing w:before="0" w:after="120"/>
      </w:pPr>
      <w:r>
        <w:t>4.1 U.S. State Breach Notification Laws</w:t>
      </w:r>
    </w:p>
    <w:p>
      <w:pPr>
        <w:spacing w:before="0" w:after="120"/>
      </w:pPr>
      <w:r>
        <w:t>State breach notification laws commonly turn on whether defined “personal information” was accessed or acquired without authorization, and whether misuse is reasonably likely. Definitions and timelines vary by state.</w:t>
      </w:r>
    </w:p>
    <w:p>
      <w:pPr>
        <w:pStyle w:val="ListBullet"/>
        <w:spacing w:before="0" w:after="120"/>
      </w:pPr>
      <w:r>
        <w:t>Insight: The interview notes that the statutory definition of a “breach” is often narrower than what the public expects, and that many incidents do not trigger state-law notice.</w:t>
      </w:r>
    </w:p>
    <w:p>
      <w:pPr>
        <w:pStyle w:val="ListBullet"/>
        <w:spacing w:before="0" w:after="120"/>
      </w:pPr>
      <w:r>
        <w:t>Example: However, even when state notice is not required, organizations may still have contractual notice duties or decide to notify for business reasons.</w:t>
      </w:r>
    </w:p>
    <w:p>
      <w:pPr>
        <w:pStyle w:val="ListBullet"/>
        <w:spacing w:before="0" w:after="120"/>
      </w:pPr>
      <w:r>
        <w:t>Key variables to analyze: residency of affected individuals, data categories implicated, whether data was encrypted, likelihood of misuse, and statutory “harm” thresholds (where applicable).</w:t>
      </w:r>
    </w:p>
    <w:p>
      <w:pPr>
        <w:pStyle w:val="ListBullet"/>
        <w:spacing w:before="0" w:after="120"/>
      </w:pPr>
      <w:r>
        <w:t>Operational reality: large incidents can create cascading nationwide notifications, especially where a vendor vulnerability affects multiple organizations.</w:t>
      </w:r>
    </w:p>
    <w:p>
      <w:pPr>
        <w:pStyle w:val="Heading2"/>
        <w:spacing w:before="0" w:after="120"/>
      </w:pPr>
      <w:r>
        <w:t>4.2 Sectoral U.S. Rules (Examples Discussed in the Interview)</w:t>
      </w:r>
    </w:p>
    <w:p>
      <w:pPr>
        <w:pStyle w:val="ListBullet"/>
        <w:spacing w:before="0" w:after="120"/>
      </w:pPr>
      <w:r>
        <w:t>HIPAA/HITECH (health data): additional notice duties to individuals, HHS/OCR, and in some cases media.</w:t>
      </w:r>
    </w:p>
    <w:p>
      <w:pPr>
        <w:pStyle w:val="ListBullet"/>
        <w:spacing w:before="0" w:after="120"/>
      </w:pPr>
      <w:r>
        <w:t>Financial services / GLBA Safeguards Rule: security standards and, for certain FTC-regulated institutions, incident reporting to the FTC.</w:t>
      </w:r>
    </w:p>
    <w:p>
      <w:pPr>
        <w:pStyle w:val="ListBullet"/>
        <w:spacing w:before="0" w:after="120"/>
      </w:pPr>
      <w:r>
        <w:t>Regulated entities and SRO oversight: depending on industry, additional reporting to banking regulators, state financial regulators, or self-regulatory organizations may apply.</w:t>
      </w:r>
    </w:p>
    <w:p>
      <w:pPr>
        <w:pStyle w:val="ListBullet"/>
        <w:spacing w:before="0" w:after="120"/>
      </w:pPr>
      <w:r>
        <w:t>Insight: The interview references that some state laws exempt HIPAA or GLBA-covered data from state notice, while others do not, making a fact- and jurisdiction-specific analysis necessary.</w:t>
      </w:r>
    </w:p>
    <w:p>
      <w:pPr>
        <w:pStyle w:val="ListBullet"/>
        <w:spacing w:before="0" w:after="120"/>
      </w:pPr>
      <w:r>
        <w:t>Example: The practical consequence is that a single incident can trigger multiple simultaneous reporting tracks (e.g., HIPAA plus state notice for non-HIPAA employee data).</w:t>
      </w:r>
    </w:p>
    <w:p>
      <w:pPr>
        <w:pStyle w:val="Heading2"/>
        <w:spacing w:before="0" w:after="120"/>
      </w:pPr>
      <w:r>
        <w:t>4.3 International Rules (GDPR and Similar Regimes)</w:t>
      </w:r>
    </w:p>
    <w:p>
      <w:pPr>
        <w:spacing w:before="0" w:after="120"/>
      </w:pPr>
      <w:r>
        <w:t>The interview briefly contrasts U.S. sectoral regulation with broader international privacy regimes like the EU GDPR (and UK GDPR). In cross-border incidents, counsel should evaluate whether the organization is subject to GDPR/UK GDPR and whether the incident meets the threshold for supervisory authority notice and/or individual notice.</w:t>
      </w:r>
    </w:p>
    <w:p>
      <w:pPr>
        <w:pStyle w:val="ListBullet"/>
        <w:spacing w:before="0" w:after="120"/>
      </w:pPr>
      <w:r>
        <w:t>Insight: GDPR’s approach is often described as more comprehensive and harmonized across Europe than the U.S. state-by-state patchwork.</w:t>
      </w:r>
    </w:p>
    <w:p>
      <w:pPr>
        <w:pStyle w:val="ListBullet"/>
        <w:spacing w:before="0" w:after="120"/>
      </w:pPr>
      <w:r>
        <w:t>Example: Organizations with EU/UK operations should pre-map decisionmakers and reporting channels to meet short regulatory timeframes.</w:t>
      </w:r>
    </w:p>
    <w:p>
      <w:pPr>
        <w:pStyle w:val="Heading2"/>
        <w:spacing w:before="0" w:after="120"/>
      </w:pPr>
      <w:r>
        <w:t>4.4 Securities Law and Cybersecurity Disclosures (Public Companies)</w:t>
      </w:r>
    </w:p>
    <w:p>
      <w:pPr>
        <w:spacing w:before="0" w:after="120"/>
      </w:pPr>
      <w:r>
        <w:t>The interview discusses the increasing role of securities regulators. For public companies, the central issue is whether an incident is material, which can trigger disclosure obligations. Even when an incident is not yet confirmed as material, the organization may need to control information flows and plan for potential disclosure.</w:t>
      </w:r>
    </w:p>
    <w:p>
      <w:pPr>
        <w:pStyle w:val="ListBullet"/>
        <w:spacing w:before="0" w:after="120"/>
      </w:pPr>
      <w:r>
        <w:t>Build a materiality assessment process that is repeatable, cross-functional, and well-documented.</w:t>
      </w:r>
    </w:p>
    <w:p>
      <w:pPr>
        <w:pStyle w:val="ListBullet"/>
        <w:spacing w:before="0" w:after="120"/>
      </w:pPr>
      <w:r>
        <w:t>Avoid premature public statements that may later prove inaccurate; be prepared to update disclosures as facts develop.</w:t>
      </w:r>
    </w:p>
    <w:p>
      <w:pPr>
        <w:pStyle w:val="ListBullet"/>
        <w:spacing w:before="0" w:after="120"/>
      </w:pPr>
      <w:r>
        <w:t>Coordinate disclosure, investor relations, legal, and security teams to prevent inconsistent messaging.</w:t>
      </w:r>
    </w:p>
    <w:p>
      <w:pPr>
        <w:pStyle w:val="Heading2"/>
        <w:spacing w:before="0" w:after="120"/>
      </w:pPr>
      <w:r>
        <w:t>4.5 Litigation and Contractual Notice</w:t>
      </w:r>
    </w:p>
    <w:p>
      <w:pPr>
        <w:spacing w:before="0" w:after="120"/>
      </w:pPr>
      <w:r>
        <w:t>Beyond statutes and regulators, breach response can create litigation risk (consumer or employee class actions; shareholder claims; contract disputes) and trigger notice under contracts such as customer security addenda, vendor agreements, financing documents, or M&amp;A diligence requests.</w:t>
      </w:r>
    </w:p>
    <w:p>
      <w:pPr>
        <w:spacing w:before="0" w:after="120"/>
      </w:pPr>
      <w:r/>
      <w:r>
        <w:t>• Insight: The interview notes that in transactions, disclosure can cascade: counterparties, lenders, and insurance underwriters may all require notice and updates.</w:t>
      </w:r>
    </w:p>
    <w:p>
      <w:pPr>
        <w:spacing w:before="0" w:after="120"/>
      </w:pPr>
      <w:r/>
      <w:r>
        <w:t>• Example: Because these audiences often ask “what did you know when,” maintaining a defensible timeline and decision record is important.</w:t>
      </w:r>
    </w:p>
    <w:p>
      <w:pPr>
        <w:spacing w:before="0" w:after="120"/>
      </w:pPr>
      <w:r>
        <w:br w:type="page"/>
      </w:r>
    </w:p>
    <w:p>
      <w:pPr>
        <w:pStyle w:val="Heading1"/>
        <w:spacing w:before="0" w:after="120"/>
      </w:pPr>
      <w:r>
        <w:t>5. Governance, Reasonable Security, and Regulator Expectations</w:t>
      </w:r>
    </w:p>
    <w:p>
      <w:pPr>
        <w:spacing w:before="0" w:after="120"/>
      </w:pPr>
      <w:r>
        <w:t>A theme of the interview is that regulators often evaluate whether an organization’s security program was “reasonable” under the circumstances. Post-breach scrutiny often focuses on governance, documentation, and whether known weaknesses were addressed.</w:t>
      </w:r>
    </w:p>
    <w:p>
      <w:pPr>
        <w:pStyle w:val="Heading2"/>
        <w:spacing w:before="0" w:after="120"/>
      </w:pPr>
      <w:r>
        <w:t>5.1 Documented Security Program and Controls</w:t>
      </w:r>
    </w:p>
    <w:p>
      <w:pPr>
        <w:pStyle w:val="ListBullet"/>
        <w:spacing w:before="0" w:after="120"/>
      </w:pPr>
      <w:r>
        <w:t>Risk assessments and documented security policies (access controls, identity management, logging, encryption, vendor management).</w:t>
      </w:r>
    </w:p>
    <w:p>
      <w:pPr>
        <w:pStyle w:val="ListBullet"/>
        <w:spacing w:before="0" w:after="120"/>
      </w:pPr>
      <w:r>
        <w:t>Multi-factor authentication (especially for remote access and privileged accounts).</w:t>
      </w:r>
    </w:p>
    <w:p>
      <w:pPr>
        <w:pStyle w:val="ListBullet"/>
        <w:spacing w:before="0" w:after="120"/>
      </w:pPr>
      <w:r>
        <w:t>Network segmentation and least-privilege access controls to limit lateral movement.</w:t>
      </w:r>
    </w:p>
    <w:p>
      <w:pPr>
        <w:pStyle w:val="ListBullet"/>
        <w:spacing w:before="0" w:after="120"/>
      </w:pPr>
      <w:r>
        <w:t>Patch management and vulnerability management processes, including tracking of “known exploited vulnerabilities.”</w:t>
      </w:r>
    </w:p>
    <w:p>
      <w:pPr>
        <w:pStyle w:val="ListBullet"/>
        <w:spacing w:before="0" w:after="120"/>
      </w:pPr>
      <w:r>
        <w:t>Employee training and phishing resilience programs.</w:t>
      </w:r>
    </w:p>
    <w:p>
      <w:pPr>
        <w:pStyle w:val="ListBullet"/>
        <w:spacing w:before="0" w:after="120"/>
      </w:pPr>
      <w:r>
        <w:t>Insight: The interview emphasizes that perfection is not attainable; organizations will rely on vendors and software that may later prove vulnerable (including zero-day vulnerabilities).</w:t>
      </w:r>
    </w:p>
    <w:p>
      <w:pPr>
        <w:pStyle w:val="ListBullet"/>
        <w:spacing w:before="0" w:after="120"/>
      </w:pPr>
      <w:r>
        <w:t>Example: The defensible question becomes whether the organization’s program was reasonable and responsive, not whether it was flawless.</w:t>
      </w:r>
    </w:p>
    <w:p>
      <w:pPr>
        <w:pStyle w:val="Heading2"/>
        <w:spacing w:before="0" w:after="120"/>
      </w:pPr>
      <w:r>
        <w:t>5.2 The Timeline Problem: “What Did You Know When?”</w:t>
      </w:r>
    </w:p>
    <w:p>
      <w:pPr>
        <w:spacing w:before="0" w:after="120"/>
      </w:pPr>
      <w:r>
        <w:t>The interview repeatedly returns to timeline discipline. Post-incident reviewers—regulators, state attorneys general, customers, and litigants—focus on when the organization detected activity, how quickly it investigated, when it escalated, and why decisions were made.</w:t>
      </w:r>
    </w:p>
    <w:p>
      <w:pPr>
        <w:pStyle w:val="ListBullet"/>
        <w:spacing w:before="0" w:after="120"/>
      </w:pPr>
      <w:r>
        <w:t>Maintain an incident log capturing: detection time; initial triage; escalation decisions; containment actions; forensic milestones; communications; and notification decisions.</w:t>
      </w:r>
    </w:p>
    <w:p>
      <w:pPr>
        <w:pStyle w:val="ListBullet"/>
        <w:spacing w:before="0" w:after="120"/>
      </w:pPr>
      <w:r>
        <w:t>Record key judgment calls with brief rationales (e.g., why notice was/was not triggered; why a statement was/was not made).</w:t>
      </w:r>
    </w:p>
    <w:p>
      <w:pPr>
        <w:pStyle w:val="ListBullet"/>
        <w:spacing w:before="0" w:after="120"/>
      </w:pPr>
      <w:r>
        <w:t>Retain evidence of security controls in place before the incident (policies, training completion, patch records).</w:t>
      </w:r>
    </w:p>
    <w:p>
      <w:pPr>
        <w:pStyle w:val="Heading2"/>
        <w:spacing w:before="0" w:after="120"/>
      </w:pPr>
      <w:r>
        <w:t>5.3 The Role of Tabletop Exercises</w:t>
      </w:r>
    </w:p>
    <w:p>
      <w:pPr>
        <w:spacing w:before="0" w:after="120"/>
      </w:pPr>
      <w:r>
        <w:t>Tabletop exercises are framed as a high-value preparedness tool. In the interview, a tabletop is described as a structured, hypothetical breach scenario used to test and improve decisionmaking, communications, and coordination.</w:t>
      </w:r>
    </w:p>
    <w:p>
      <w:pPr>
        <w:pStyle w:val="ListBullet"/>
        <w:spacing w:before="0" w:after="120"/>
      </w:pPr>
      <w:r>
        <w:t>Run tabletops with the information security team and executive leadership team (ELT).</w:t>
      </w:r>
    </w:p>
    <w:p>
      <w:pPr>
        <w:pStyle w:val="ListBullet"/>
        <w:spacing w:before="0" w:after="120"/>
      </w:pPr>
      <w:r>
        <w:t>Stress-test escalation thresholds and who has authority to make which decisions.</w:t>
      </w:r>
    </w:p>
    <w:p>
      <w:pPr>
        <w:pStyle w:val="ListBullet"/>
        <w:spacing w:before="0" w:after="120"/>
      </w:pPr>
      <w:r>
        <w:t>Practice insurer notification, vendor engagement, and customer/regulator communication workflows.</w:t>
      </w:r>
    </w:p>
    <w:p>
      <w:pPr>
        <w:pStyle w:val="ListBullet"/>
        <w:spacing w:before="0" w:after="120"/>
      </w:pPr>
      <w:r>
        <w:t>Use lessons learned to update the incident response plan (IRP) and playbooks.</w:t>
      </w:r>
    </w:p>
    <w:p>
      <w:pPr>
        <w:pStyle w:val="Heading1"/>
        <w:spacing w:before="0" w:after="120"/>
      </w:pPr>
      <w:r>
        <w:t>6. Special Topic: Ransomware and Extortion</w:t>
      </w:r>
    </w:p>
    <w:p>
      <w:pPr>
        <w:spacing w:before="0" w:after="120"/>
      </w:pPr>
      <w:r>
        <w:t>The interview addresses ransomware as a high-impact scenario that combines business interruption with data compromise risks. Ransomware incidents can be “easier” from a disclosure perspective when the business is fully shut down (because the impact is visible and immediate), but they remain complex in practice.</w:t>
      </w:r>
    </w:p>
    <w:p>
      <w:pPr>
        <w:pStyle w:val="ListBullet"/>
        <w:spacing w:before="0" w:after="120"/>
      </w:pPr>
      <w:r>
        <w:t>Insight: Ransomware often creates massive costs: forensic investigation, operational rebuild, and significant business disruption.</w:t>
      </w:r>
    </w:p>
    <w:p>
      <w:pPr>
        <w:pStyle w:val="ListBullet"/>
        <w:spacing w:before="0" w:after="120"/>
      </w:pPr>
      <w:r>
        <w:t>Example: Even within ransomware, the practical difficulty varies: some incidents fully halt business operations while others are more limited but still involve sensitive data exposure.</w:t>
      </w:r>
    </w:p>
    <w:p>
      <w:pPr>
        <w:pStyle w:val="Heading2"/>
        <w:spacing w:before="0" w:after="120"/>
      </w:pPr>
      <w:r>
        <w:t>6.1 Payment Decisions, Sanctions Risk, and Law Enforcement</w:t>
      </w:r>
    </w:p>
    <w:p>
      <w:pPr>
        <w:spacing w:before="0" w:after="120"/>
      </w:pPr>
      <w:r/>
      <w:r>
        <w:t>• Evaluate whether decryption is possible without paying (backups, restoration capacity, third-party decryptors).</w:t>
      </w:r>
    </w:p>
    <w:p>
      <w:pPr>
        <w:spacing w:before="0" w:after="120"/>
      </w:pPr>
      <w:r/>
      <w:r>
        <w:t>• Assess sanctions and anti-money laundering risks before any payment decision; coordinate with counsel and insurer.</w:t>
      </w:r>
    </w:p>
    <w:p>
      <w:pPr>
        <w:spacing w:before="0" w:after="120"/>
      </w:pPr>
      <w:r/>
      <w:r>
        <w:t>• Consider reporting to law enforcement and/or CISA/FBI as appropriate; preserve evidence for investigation.</w:t>
      </w:r>
    </w:p>
    <w:p>
      <w:pPr>
        <w:pStyle w:val="Heading2"/>
        <w:spacing w:before="0" w:after="120"/>
      </w:pPr>
      <w:r>
        <w:t>6.2 Communications in Ransomware</w:t>
      </w:r>
    </w:p>
    <w:p>
      <w:pPr>
        <w:pStyle w:val="ListBullet"/>
        <w:spacing w:before="0" w:after="120"/>
      </w:pPr>
      <w:r>
        <w:t>Prepare internal communications to employees and leadership about operational status and interim procedures.</w:t>
      </w:r>
    </w:p>
    <w:p>
      <w:pPr>
        <w:pStyle w:val="ListBullet"/>
        <w:spacing w:before="0" w:after="120"/>
      </w:pPr>
      <w:r>
        <w:t>Align external messaging with evolving facts; avoid attributing the attack or promising timelines before forensics confirm.</w:t>
      </w:r>
    </w:p>
    <w:p>
      <w:pPr>
        <w:pStyle w:val="ListBullet"/>
        <w:spacing w:before="0" w:after="120"/>
      </w:pPr>
      <w:r>
        <w:t>Coordinate customer communications where service availability or data exposure is implicated.</w:t>
      </w:r>
    </w:p>
    <w:p>
      <w:pPr>
        <w:spacing w:before="0" w:after="120"/>
      </w:pPr>
      <w:r>
        <w:br w:type="page"/>
      </w:r>
    </w:p>
    <w:p>
      <w:pPr>
        <w:pStyle w:val="Heading1"/>
        <w:spacing w:before="0" w:after="120"/>
      </w:pPr>
      <w:r>
        <w:t>7. Practical Checklists and Templates</w:t>
      </w:r>
    </w:p>
    <w:p>
      <w:pPr>
        <w:pStyle w:val="Heading2"/>
        <w:spacing w:before="0" w:after="120"/>
      </w:pPr>
      <w:r>
        <w:t>7.1 Breach Response Checklist (Attorney-Facing)</w:t>
      </w:r>
    </w:p>
    <w:p>
      <w:pPr>
        <w:pStyle w:val="ListBullet"/>
        <w:spacing w:before="0" w:after="120"/>
      </w:pPr>
      <w:r>
        <w:t>Confirm scope: data types, affected individuals (by residency), systems impacted, third parties involved.</w:t>
      </w:r>
    </w:p>
    <w:p>
      <w:pPr>
        <w:pStyle w:val="ListBullet"/>
        <w:spacing w:before="0" w:after="120"/>
      </w:pPr>
      <w:r>
        <w:t>Stand up privilege structure: outside counsel engagement; counsel retention of forensics/PR (as appropriate); preserve confidentiality.</w:t>
      </w:r>
    </w:p>
    <w:p>
      <w:pPr>
        <w:pStyle w:val="ListBullet"/>
        <w:spacing w:before="0" w:after="120"/>
      </w:pPr>
      <w:r>
        <w:t>Establish decision log and timeline; implement litigation hold if needed.</w:t>
      </w:r>
    </w:p>
    <w:p>
      <w:pPr>
        <w:pStyle w:val="ListBullet"/>
        <w:spacing w:before="0" w:after="120"/>
      </w:pPr>
      <w:r>
        <w:t>Evaluate notice triggers: state breach laws; HIPAA/HITECH; sector regulations; contractual security addenda; international rules (GDPR/UK GDPR).</w:t>
      </w:r>
    </w:p>
    <w:p>
      <w:pPr>
        <w:pStyle w:val="ListBullet"/>
        <w:spacing w:before="0" w:after="120"/>
      </w:pPr>
      <w:r>
        <w:t>Coordinate insurer notice and vendor approvals; manage budget and panel resources.</w:t>
      </w:r>
    </w:p>
    <w:p>
      <w:pPr>
        <w:pStyle w:val="ListBullet"/>
        <w:spacing w:before="0" w:after="120"/>
      </w:pPr>
      <w:r>
        <w:t>Prepare communications: regulators, customers, employees, board, and (if applicable) investors; pre-clear drafts; aim for consistency.</w:t>
      </w:r>
    </w:p>
    <w:p>
      <w:pPr>
        <w:pStyle w:val="ListBullet"/>
        <w:spacing w:before="0" w:after="120"/>
      </w:pPr>
      <w:r>
        <w:t>Assess downstream risks: class actions; regulator investigations; contractual disputes; transaction impacts.</w:t>
      </w:r>
    </w:p>
    <w:p>
      <w:pPr>
        <w:pStyle w:val="ListBullet"/>
        <w:spacing w:before="0" w:after="120"/>
      </w:pPr>
      <w:r>
        <w:t>Plan remediation: root cause fixes, access resets, segmentation, monitoring upgrades, vendor controls.</w:t>
      </w:r>
    </w:p>
    <w:p>
      <w:pPr>
        <w:pStyle w:val="ListBullet"/>
        <w:spacing w:before="0" w:after="120"/>
      </w:pPr>
      <w:r>
        <w:t>Post-incident: conduct a lessons-learned review; update policies, training, and tabletop scenarios.</w:t>
      </w:r>
    </w:p>
    <w:p>
      <w:pPr>
        <w:pStyle w:val="Heading2"/>
        <w:spacing w:before="0" w:after="120"/>
      </w:pPr>
      <w:r>
        <w:t>7.2 Notification Drafting Pointers</w:t>
      </w:r>
    </w:p>
    <w:p>
      <w:pPr>
        <w:pStyle w:val="ListBullet"/>
        <w:spacing w:before="0" w:after="120"/>
      </w:pPr>
      <w:r>
        <w:t>Be accurate and specific about what is known and unknown; avoid overstatements.</w:t>
      </w:r>
    </w:p>
    <w:p>
      <w:pPr>
        <w:pStyle w:val="ListBullet"/>
        <w:spacing w:before="0" w:after="120"/>
      </w:pPr>
      <w:r>
        <w:t>Describe what happened, what information may have been involved, and what steps are being taken.</w:t>
      </w:r>
    </w:p>
    <w:p>
      <w:pPr>
        <w:pStyle w:val="ListBullet"/>
        <w:spacing w:before="0" w:after="120"/>
      </w:pPr>
      <w:r>
        <w:t>Explain protective steps (password resets, credit monitoring where appropriate) and provide contact channels.</w:t>
      </w:r>
    </w:p>
    <w:p>
      <w:pPr>
        <w:pStyle w:val="ListBullet"/>
        <w:spacing w:before="0" w:after="120"/>
      </w:pPr>
      <w:r>
        <w:t>Align statutory notice content requirements (which vary by jurisdiction) and coordinate multi-state mailings and regulator submissions.</w:t>
      </w:r>
    </w:p>
    <w:p>
      <w:pPr>
        <w:pStyle w:val="Heading2"/>
        <w:spacing w:before="0" w:after="120"/>
      </w:pPr>
      <w:r>
        <w:t>7.3 Tabletop Exercise Agenda (Sample)</w:t>
      </w:r>
    </w:p>
    <w:p>
      <w:pPr>
        <w:pStyle w:val="ListBullet"/>
        <w:spacing w:before="0" w:after="120"/>
      </w:pPr>
      <w:r>
        <w:t>Scenario introduction (phishing → credential theft → lateral movement → data exfiltration).</w:t>
      </w:r>
    </w:p>
    <w:p>
      <w:pPr>
        <w:pStyle w:val="ListBullet"/>
        <w:spacing w:before="0" w:after="120"/>
      </w:pPr>
      <w:r>
        <w:t>Decision point 1: detection and escalation (when does security inform counsel and ELT?).</w:t>
      </w:r>
    </w:p>
    <w:p>
      <w:pPr>
        <w:pStyle w:val="ListBullet"/>
        <w:spacing w:before="0" w:after="120"/>
      </w:pPr>
      <w:r>
        <w:t>Decision point 2: containment vs. preservation (what can be changed immediately; what may need to be imaged first?).</w:t>
      </w:r>
    </w:p>
    <w:p>
      <w:pPr>
        <w:pStyle w:val="ListBullet"/>
        <w:spacing w:before="0" w:after="120"/>
      </w:pPr>
      <w:r>
        <w:t>Decision point 3: insurer notice and vendor engagement (who calls the carrier; which vendors are pre-approved?).</w:t>
      </w:r>
    </w:p>
    <w:p>
      <w:pPr>
        <w:pStyle w:val="ListBullet"/>
        <w:spacing w:before="0" w:after="120"/>
      </w:pPr>
      <w:r>
        <w:t>Decision point 4: notification analysis (what data; what jurisdictions; what timelines?).</w:t>
      </w:r>
    </w:p>
    <w:p>
      <w:pPr>
        <w:pStyle w:val="ListBullet"/>
        <w:spacing w:before="0" w:after="120"/>
      </w:pPr>
      <w:r>
        <w:t>Decision point 5: external communications (customers, regulators, media; holding statements).</w:t>
      </w:r>
    </w:p>
    <w:p>
      <w:pPr>
        <w:pStyle w:val="ListBullet"/>
        <w:spacing w:before="0" w:after="120"/>
      </w:pPr>
      <w:r>
        <w:t>Debrief and action items (policy updates; control enhancements; training gaps).</w:t>
      </w:r>
    </w:p>
    <w:p>
      <w:pPr>
        <w:pStyle w:val="Heading1"/>
        <w:spacing w:before="0" w:after="120"/>
      </w:pPr>
      <w:r>
        <w:t>8. Additional Resources for Further Study</w:t>
      </w:r>
    </w:p>
    <w:p>
      <w:pPr>
        <w:spacing w:before="0" w:after="120"/>
      </w:pPr>
      <w:r>
        <w:t>The interview encourages lawyers and organizations to treat breach response as a repeatable discipline. The following resources provide authoritative starting points for standards, reporting, and regulator expectations:</w:t>
      </w:r>
    </w:p>
    <w:p>
      <w:pPr>
        <w:pStyle w:val="ListBullet"/>
        <w:spacing w:before="0" w:after="120"/>
      </w:pPr>
      <w:r>
        <w:t>SEC cybersecurity incident disclosure rules for public companies (Form 8‑K Item 1.05; annual governance disclosures).</w:t>
      </w:r>
    </w:p>
    <w:p>
      <w:pPr>
        <w:pStyle w:val="ListBullet"/>
        <w:spacing w:before="0" w:after="120"/>
      </w:pPr>
      <w:r>
        <w:t>FTC GLBA Safeguards Rule guidance and breach notification requirements for covered financial institutions.</w:t>
      </w:r>
    </w:p>
    <w:p>
      <w:pPr>
        <w:pStyle w:val="ListBullet"/>
        <w:spacing w:before="0" w:after="120"/>
      </w:pPr>
      <w:r>
        <w:t>HHS/OCR HIPAA Breach Notification Rule (including the 60‑day outside deadline).</w:t>
      </w:r>
    </w:p>
    <w:p>
      <w:pPr>
        <w:pStyle w:val="ListBullet"/>
        <w:spacing w:before="0" w:after="120"/>
      </w:pPr>
      <w:r>
        <w:t>NIST Cybersecurity Framework (CSF) 2.0 (governance-focused update for organizations of all sizes).</w:t>
      </w:r>
    </w:p>
    <w:p>
      <w:pPr>
        <w:pStyle w:val="ListBullet"/>
        <w:spacing w:before="0" w:after="120"/>
      </w:pPr>
      <w:r>
        <w:t>OFAC ransomware advisory (sanctions risks associated with ransomware payments).</w:t>
      </w:r>
    </w:p>
    <w:p>
      <w:pPr>
        <w:pStyle w:val="ListBullet"/>
        <w:spacing w:before="0" w:after="120"/>
      </w:pPr>
      <w:r>
        <w:t>CISA StopRansomware resources and ransomware response checklist.</w:t>
      </w:r>
    </w:p>
    <w:p>
      <w:pPr>
        <w:spacing w:before="0" w:after="120"/>
      </w:pPr>
      <w:r>
        <w:t>Practice tip: Build your internal “breach binder” (digital or physical) containing the incident response plan, vendor contacts, insurer contacts, key contracts, and jurisdictional notice matrices. Update it after each tabletop and after any real incident.</w:t>
      </w:r>
    </w:p>
    <w:p/>
    <w:p>
      <w:pPr>
        <w:pStyle w:val="Heading1"/>
      </w:pPr>
      <w:r>
        <w:t>Key Authorities and Guidance (Official Sources)</w:t>
      </w:r>
    </w:p>
    <w:p>
      <w:pPr>
        <w:pStyle w:val="ListBullet"/>
      </w:pPr>
      <w:r>
        <w:t>SEC cybersecurity risk management, strategy, governance, and incident disclosure rule (press release &amp; rule materials): https://www.sec.gov/newsroom/press-releases/2023-139</w:t>
      </w:r>
    </w:p>
    <w:p>
      <w:pPr>
        <w:pStyle w:val="ListBullet"/>
      </w:pPr>
      <w:r>
        <w:t>FTC Safeguards Rule (GLBA) guidance for financial institutions: https://www.ftc.gov/business-guidance/resources/ftc-safeguards-rule-what-your-business-needs-know</w:t>
      </w:r>
    </w:p>
    <w:p>
      <w:pPr>
        <w:pStyle w:val="ListBullet"/>
      </w:pPr>
      <w:r>
        <w:t>HIPAA Breach Notification Rule (HHS overview): https://www.hhs.gov/hipaa/for-professionals/breach-notification/index.html</w:t>
      </w:r>
    </w:p>
    <w:p>
      <w:pPr>
        <w:pStyle w:val="ListBullet"/>
      </w:pPr>
      <w:r>
        <w:t>NIST Cybersecurity Framework (CSF) 2.0: https://www.nist.gov/cyberframework</w:t>
      </w:r>
    </w:p>
    <w:p>
      <w:pPr>
        <w:pStyle w:val="ListBullet"/>
      </w:pPr>
      <w:r>
        <w:t>CISA StopRansomware resources (reporting, prevention, response): https://www.cisa.gov/stopransomware</w:t>
      </w:r>
    </w:p>
    <w:p>
      <w:pPr>
        <w:pStyle w:val="ListBullet"/>
      </w:pPr>
      <w:r>
        <w:t>OFAC advisory on potential sanctions risks for ransomware payments: https://ofac.treasury.gov/recent-actions/20200921</w:t>
      </w:r>
    </w:p>
    <w:p>
      <w:pPr>
        <w:pStyle w:val="ListBullet"/>
      </w:pPr>
      <w:r>
        <w:t>EU GDPR consolidated text (Regulation (EU) 2016/679): https://eur-lex.europa.eu/eli/reg/2016/679/oj</w:t>
      </w:r>
    </w:p>
    <w:p>
      <w:pPr>
        <w:pStyle w:val="ListBullet"/>
      </w:pPr>
      <w:r>
        <w:t>California Consumer Privacy Act (CCPA) — California Civil Code (official state site): https://leginfo.legislature.ca.gov/faces/codes_displayText.xhtml?lawCode=CIV&amp;division=3.&amp;title=1.81.5.&amp;part=4.&amp;chapter=&amp;article=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