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rtl w:val="0"/>
        </w:rPr>
        <w:t xml:space="preserve">Continuing Legal Education Written Materials</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rtl w:val="0"/>
        </w:rPr>
        <w:t xml:space="preserve">A Mindful Lawyer: Combatting Legal Stress with Jon Krop</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Based on a 63-minute TalksOnLaw interview on lawyer stress, mindfulness, and practical techniques for day-to-day practice.</w:t>
      </w:r>
    </w:p>
    <w:p w:rsidR="00000000" w:rsidDel="00000000" w:rsidP="00000000" w:rsidRDefault="00000000" w:rsidRPr="00000000" w14:paraId="00000004">
      <w:pPr>
        <w:rPr/>
      </w:pPr>
      <w:r w:rsidDel="00000000" w:rsidR="00000000" w:rsidRPr="00000000">
        <w:rPr>
          <w:rtl w:val="0"/>
        </w:rPr>
        <w:t xml:space="preserve">These written materials are designed to stand alone as an instructional tool. They track and elaborate on the topics discussed in the interview, provide definitions and practical checklists, and include additional reference material attorneys can use after the course. They are intended to reduce the need for participants to take notes during the program and to serve as a post-course reference.</w:t>
      </w:r>
    </w:p>
    <w:p w:rsidR="00000000" w:rsidDel="00000000" w:rsidP="00000000" w:rsidRDefault="00000000" w:rsidRPr="00000000" w14:paraId="00000005">
      <w:pPr>
        <w:rPr/>
      </w:pPr>
      <w:r w:rsidDel="00000000" w:rsidR="00000000" w:rsidRPr="00000000">
        <w:rPr>
          <w:rtl w:val="0"/>
        </w:rPr>
        <w:t xml:space="preserve">They are not legal advice or medical advice. Stress, anxiety, depression, and substance use concerns can be serious and fact-specific. Participants should seek qualified professional help when appropriate (including through Lawyer Assistance Programs).</w:t>
      </w:r>
    </w:p>
    <w:p w:rsidR="00000000" w:rsidDel="00000000" w:rsidP="00000000" w:rsidRDefault="00000000" w:rsidRPr="00000000" w14:paraId="00000006">
      <w:pPr>
        <w:pStyle w:val="Heading1"/>
        <w:rPr/>
      </w:pPr>
      <w:r w:rsidDel="00000000" w:rsidR="00000000" w:rsidRPr="00000000">
        <w:rPr>
          <w:rtl w:val="0"/>
        </w:rPr>
        <w:t xml:space="preserve">1. Orientation: What This Course Covers (and Why It Matters)</w:t>
      </w:r>
    </w:p>
    <w:p w:rsidR="00000000" w:rsidDel="00000000" w:rsidP="00000000" w:rsidRDefault="00000000" w:rsidRPr="00000000" w14:paraId="00000007">
      <w:pPr>
        <w:rPr/>
      </w:pPr>
      <w:r w:rsidDel="00000000" w:rsidR="00000000" w:rsidRPr="00000000">
        <w:rPr>
          <w:rtl w:val="0"/>
        </w:rPr>
        <w:t xml:space="preserve">The interview frames legal stress as both an individual experience and a professional systems issue. It introduces mindfulness as a practical, skill-based form of mental training that can be used in short intervals throughout a lawyer’s day—before a negotiation, during a difficult call, while drafting, or in the middle of document review. A recurring theme is that mindfulness is not about eliminating thinking; it is about changing how attention is used and how lawyers relate to stressful thoughts, emotions, and body sensations.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Insight: The interview repeatedly separates (a) stressors in the environment (workload, time pressure, adversarial dynamics) from (b) the internal habits that can amplify stress (rumination, avoidance, reactivity).</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The goal of the practices described is not to ‘turn off’ legal judgment; it is to build a more flexible, less reactive relationship to attention and stress signals.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rPr/>
      </w:pPr>
      <w:r w:rsidDel="00000000" w:rsidR="00000000" w:rsidRPr="00000000">
        <w:rPr>
          <w:rtl w:val="0"/>
        </w:rPr>
        <w:t xml:space="preserve">1.1 Learning Objectives (for participants)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why legal work can create sustained stress and why stress can affect performance (focus, judgment, and emotion regulation).</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Define mindfulness in the way used in the interview and explain what mindfulness is not (it is not ‘anti-thinking’ and not a cure-all).</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Explain Dr. Martin Seligman’s three factors discussed in the interview (low decision latitude, pessimism/prudence, and zero-sum dynamics) and how they connect to legal stress.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Apply practical techniques from the interview (attentional anchoring, breath-based attention, mindful mini pause, labeling ‘thinking/feeling’) in realistic work scenarios.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organizational and professional resources discussed (ABA and Task Force materials; Lawyer Assistance Programs) and understand when to escalate to professional help.</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1"/>
        <w:rPr/>
      </w:pPr>
      <w:r w:rsidDel="00000000" w:rsidR="00000000" w:rsidRPr="00000000">
        <w:rPr>
          <w:rtl w:val="0"/>
        </w:rPr>
        <w:t xml:space="preserve">2. Legal Stress: What the Interview Highlights</w:t>
      </w:r>
    </w:p>
    <w:p w:rsidR="00000000" w:rsidDel="00000000" w:rsidP="00000000" w:rsidRDefault="00000000" w:rsidRPr="00000000" w14:paraId="00000013">
      <w:pPr>
        <w:rPr/>
      </w:pPr>
      <w:r w:rsidDel="00000000" w:rsidR="00000000" w:rsidRPr="00000000">
        <w:rPr>
          <w:rtl w:val="0"/>
        </w:rPr>
        <w:t xml:space="preserve">The interview acknowledges that stress is not unique to lawyers, but it argues that certain features of legal work can reliably produce sustained high pressure: deadlines driven by clients and courts, high consequences for mistakes, constant issue-spotting, adversarial dynamics, and a culture that can reward overwork. The discussion also notes that stress can show up as mental strain (rumination), emotional strain (irritability, anxiety), and physical signals (tightness, heat, racing heart).</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Example: The guest describes how stress can appear in body sensations (e.g., tightness in the stomach, tingling in hands, heat in the face) and how people often ‘flinch away’ from those sensations rather than noticing them.</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The interview cautions against framing stress purely as an individual failing; it explicitly notes that employer culture and structural demands matter.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2"/>
        <w:rPr/>
      </w:pPr>
      <w:r w:rsidDel="00000000" w:rsidR="00000000" w:rsidRPr="00000000">
        <w:rPr>
          <w:rtl w:val="0"/>
        </w:rPr>
        <w:t xml:space="preserve">2.1 Stress, attention, and performance (lawyer-specific framing)</w:t>
      </w:r>
    </w:p>
    <w:p w:rsidR="00000000" w:rsidDel="00000000" w:rsidP="00000000" w:rsidRDefault="00000000" w:rsidRPr="00000000" w14:paraId="00000018">
      <w:pPr>
        <w:rPr/>
      </w:pPr>
      <w:r w:rsidDel="00000000" w:rsidR="00000000" w:rsidRPr="00000000">
        <w:rPr>
          <w:rtl w:val="0"/>
        </w:rPr>
        <w:t xml:space="preserve">A practical point for CLE audiences is how stress interacts with attention. The interview describes attention as a ‘spotlight’ that can be aimed. When stress is high, the spotlight often collapses into narrow threat-monitoring or gets pulled into repetitive future-oriented thinking. This can make routine legal tasks feel harder: sustained reading, careful proofreading, client communication, and strategic decisionmaking.</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Insight: The interview’s techniques are framed as ‘attentional training’—rebuilding the ability to place attention deliberately (rather than reflexively) and to notice when attention has wandered.</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Example: In the guided exercise, the guest asks the host to shift attention to a foot on the floor to illustrate how attention can make previously ‘background’ sensations stand out (around ~00:26:33).</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1"/>
        <w:rPr/>
      </w:pPr>
      <w:r w:rsidDel="00000000" w:rsidR="00000000" w:rsidRPr="00000000">
        <w:rPr>
          <w:rtl w:val="0"/>
        </w:rPr>
        <w:t xml:space="preserve">3. What Mindfulness Means in This Course</w:t>
      </w:r>
    </w:p>
    <w:p w:rsidR="00000000" w:rsidDel="00000000" w:rsidP="00000000" w:rsidRDefault="00000000" w:rsidRPr="00000000" w14:paraId="0000001D">
      <w:pPr>
        <w:rPr/>
      </w:pPr>
      <w:r w:rsidDel="00000000" w:rsidR="00000000" w:rsidRPr="00000000">
        <w:rPr>
          <w:rtl w:val="0"/>
        </w:rPr>
        <w:t xml:space="preserve">The interview defines mindfulness as a form of mental training or practice—derived from contemplative traditions but widely studied in modern settings—that helps people become more aware, moment to moment, of present experience. A concise phrase used in the interview is “Be here now.” Importantly, the guest emphasizes that mindfulness is not ‘anti-thinking.’ Lawyers must think about the future, assess risk, and spot weaknesses. Mindfulness aims to reduce compulsive or unproductive loops (e.g., rumination) and to allow more choice in where attention goes.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Transcript anchor: Mindfulness as present-moment awareness and ‘Be here now’ is discussed around ~00:03:10–00:04:10.</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Transcript anchor: The explicit disclaimer that mindfulness is not ‘anti-thinking’ appears around ~00:04:38–00:05:05.</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rPr/>
      </w:pPr>
      <w:r w:rsidDel="00000000" w:rsidR="00000000" w:rsidRPr="00000000">
        <w:rPr>
          <w:rtl w:val="0"/>
        </w:rPr>
        <w:t xml:space="preserve">3.1 “Rules on paper” vs. “skills in practice”</w:t>
      </w:r>
    </w:p>
    <w:p w:rsidR="00000000" w:rsidDel="00000000" w:rsidP="00000000" w:rsidRDefault="00000000" w:rsidRPr="00000000" w14:paraId="00000022">
      <w:pPr>
        <w:rPr/>
      </w:pPr>
      <w:r w:rsidDel="00000000" w:rsidR="00000000" w:rsidRPr="00000000">
        <w:rPr>
          <w:rtl w:val="0"/>
        </w:rPr>
        <w:t xml:space="preserve">The interview treats mindfulness as a skill set rather than a concept. Repeatedly, it returns to the idea that practicing is what builds the benefit. Participants should expect distraction and mind-wandering; noticing the wandering and returning attention is described as part of the practice, not a failure.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Insight: The guest emphasizes that mind-wandering is normal; the ‘rep’ is noticing it and gently returning attention to the anchor (e.g., the breath).</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Example: The guest describes returning attention to sensations of breathing at the nostrils, and explains that this trains both stability of attention and awareness of where attention is (around ~00:30:50–00:31:40).</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1"/>
        <w:rPr/>
      </w:pPr>
      <w:r w:rsidDel="00000000" w:rsidR="00000000" w:rsidRPr="00000000">
        <w:rPr>
          <w:rtl w:val="0"/>
        </w:rPr>
        <w:t xml:space="preserve">4. Why Lawyers Are Unhappy (Seligman Framework Discussed in the Interview)</w:t>
      </w:r>
    </w:p>
    <w:p w:rsidR="00000000" w:rsidDel="00000000" w:rsidP="00000000" w:rsidRDefault="00000000" w:rsidRPr="00000000" w14:paraId="00000027">
      <w:pPr>
        <w:rPr/>
      </w:pPr>
      <w:r w:rsidDel="00000000" w:rsidR="00000000" w:rsidRPr="00000000">
        <w:rPr>
          <w:rtl w:val="0"/>
        </w:rPr>
        <w:t xml:space="preserve">A central explanatory framework in the interview comes from Dr. Martin Seligman’s work on lawyer stress and unhappiness. The guest identifies three features that, in this framing, contribute to stress in legal practice. The intent is not to claim lawyers are uniquely stressed, but to give a practical model for why legal work can sustain strain over long periods.</w:t>
      </w:r>
    </w:p>
    <w:p w:rsidR="00000000" w:rsidDel="00000000" w:rsidP="00000000" w:rsidRDefault="00000000" w:rsidRPr="00000000" w14:paraId="00000028">
      <w:pPr>
        <w:pStyle w:val="Heading2"/>
        <w:rPr/>
      </w:pPr>
      <w:r w:rsidDel="00000000" w:rsidR="00000000" w:rsidRPr="00000000">
        <w:rPr>
          <w:rtl w:val="0"/>
        </w:rPr>
        <w:t xml:space="preserve">4.1 Low decision latitude (low control + high pressure)</w:t>
      </w:r>
    </w:p>
    <w:p w:rsidR="00000000" w:rsidDel="00000000" w:rsidP="00000000" w:rsidRDefault="00000000" w:rsidRPr="00000000" w14:paraId="00000029">
      <w:pPr>
        <w:rPr/>
      </w:pPr>
      <w:r w:rsidDel="00000000" w:rsidR="00000000" w:rsidRPr="00000000">
        <w:rPr>
          <w:rtl w:val="0"/>
        </w:rPr>
        <w:t xml:space="preserve">The interview describes ‘low decision latitude’ as limited autonomy over what you work on, when you work on it, and how quickly you must respond. This can affect junior lawyers (limited control over assignments) and senior lawyers (client-driven urgency and expectations).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Example: The guest gives the example of a client emailing late on Friday and expecting a rapid turnaround, even for senior lawyers (around ~00:11:55–00:12:15).</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In this framing, stress increases when low control is paired with high pressure and high stakes.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2"/>
        <w:rPr/>
      </w:pPr>
      <w:r w:rsidDel="00000000" w:rsidR="00000000" w:rsidRPr="00000000">
        <w:rPr>
          <w:rtl w:val="0"/>
        </w:rPr>
        <w:t xml:space="preserve">4.2 Pessimism / prudence (issue-spotting that can become pervasive)</w:t>
      </w:r>
    </w:p>
    <w:p w:rsidR="00000000" w:rsidDel="00000000" w:rsidP="00000000" w:rsidRDefault="00000000" w:rsidRPr="00000000" w14:paraId="0000002E">
      <w:pPr>
        <w:rPr/>
      </w:pPr>
      <w:r w:rsidDel="00000000" w:rsidR="00000000" w:rsidRPr="00000000">
        <w:rPr>
          <w:rtl w:val="0"/>
        </w:rPr>
        <w:t xml:space="preserve">The interview distinguishes ‘garden variety’ pessimism from a lawyerly habit of scanning for flaws, risks, and what can go wrong. In the legal context, this habit is valuable for competence. The concern raised is that the habit can become sticky—carrying over outside work hours and turning into persistent negativity or anxiety loops.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Insight: The guest frames mindfulness as a way to build flexibility: the ability to use risk-spotting at work without being trapped in it at all times.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2"/>
        <w:rPr/>
      </w:pPr>
      <w:r w:rsidDel="00000000" w:rsidR="00000000" w:rsidRPr="00000000">
        <w:rPr>
          <w:rtl w:val="0"/>
        </w:rPr>
        <w:t xml:space="preserve">4.3 Zero-sum dynamics and emotion in adversarial systems</w:t>
      </w:r>
    </w:p>
    <w:p w:rsidR="00000000" w:rsidDel="00000000" w:rsidP="00000000" w:rsidRDefault="00000000" w:rsidRPr="00000000" w14:paraId="00000032">
      <w:pPr>
        <w:rPr/>
      </w:pPr>
      <w:r w:rsidDel="00000000" w:rsidR="00000000" w:rsidRPr="00000000">
        <w:rPr>
          <w:rtl w:val="0"/>
        </w:rPr>
        <w:t xml:space="preserve">The interview points out that legal practice often operates in adversarial settings where outcomes can feel win/lose, which can intensify negative emotions. This is not presented as a moral critique of the system; it is presented as a realistic emotional load that lawyers may need to manage over time.</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Transcript anchor: Zero-sum/adversarial system discussion occurs around ~00:13:45–00:14:00.</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2"/>
        <w:rPr/>
      </w:pPr>
      <w:r w:rsidDel="00000000" w:rsidR="00000000" w:rsidRPr="00000000">
        <w:rPr>
          <w:rtl w:val="0"/>
        </w:rPr>
        <w:t xml:space="preserve">4.4 Important guardrail: avoid “it’s all on you” messaging</w:t>
      </w:r>
    </w:p>
    <w:p w:rsidR="00000000" w:rsidDel="00000000" w:rsidP="00000000" w:rsidRDefault="00000000" w:rsidRPr="00000000" w14:paraId="00000036">
      <w:pPr>
        <w:rPr/>
      </w:pPr>
      <w:r w:rsidDel="00000000" w:rsidR="00000000" w:rsidRPr="00000000">
        <w:rPr>
          <w:rtl w:val="0"/>
        </w:rPr>
        <w:t xml:space="preserve">A notable moment in the interview is the guest’s caution against a simplistic message that stress is only about how individuals ‘handle it.’ He explicitly notes this can be ‘dangerous’ because it risks absolving legal employers and the profession from responsibility for the cultures they create.</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Transcript anchor: This caution appears around ~00:14:57–00:15:17.</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1"/>
        <w:rPr/>
      </w:pPr>
      <w:r w:rsidDel="00000000" w:rsidR="00000000" w:rsidRPr="00000000">
        <w:rPr>
          <w:rtl w:val="0"/>
        </w:rPr>
        <w:t xml:space="preserve">5. What Research Is Referenced (and How to Describe It Conservatively)</w:t>
      </w:r>
    </w:p>
    <w:p w:rsidR="00000000" w:rsidDel="00000000" w:rsidP="00000000" w:rsidRDefault="00000000" w:rsidRPr="00000000" w14:paraId="0000003A">
      <w:pPr>
        <w:rPr/>
      </w:pPr>
      <w:r w:rsidDel="00000000" w:rsidR="00000000" w:rsidRPr="00000000">
        <w:rPr>
          <w:rtl w:val="0"/>
        </w:rPr>
        <w:t xml:space="preserve">The original course outline cites research suggesting that mindfulness practice can be associated with changes in brain structure and with improvements in emotional regulation, attention, and resiliency. In the interview, the guest also references research on lawyer well-being, alcohol use, and patterns of coping. These written materials treat research claims cautiously: they summarize what the cited sources report without claiming that mindfulness guarantees outcomes.</w:t>
      </w:r>
    </w:p>
    <w:p w:rsidR="00000000" w:rsidDel="00000000" w:rsidP="00000000" w:rsidRDefault="00000000" w:rsidRPr="00000000" w14:paraId="0000003B">
      <w:pPr>
        <w:pStyle w:val="Heading2"/>
        <w:rPr/>
      </w:pPr>
      <w:r w:rsidDel="00000000" w:rsidR="00000000" w:rsidRPr="00000000">
        <w:rPr>
          <w:rtl w:val="0"/>
        </w:rPr>
        <w:t xml:space="preserve">5.1 Mindfulness and brain structure (as cited in the outline)</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frequently cited study associated participation in a mindfulness-based stress reduction program with increased gray matter concentration in brain regions related to learning, memory, and emotion regulation (Hölzel et al., 2011; commonly associated with Dr. Sara Lazar’s research team).</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This is an association study and is not a promise that every practitioner will experience the same effects; it is best taught as evidence that mindfulness training can produce measurable changes in some participants.</w:t>
      </w:r>
    </w:p>
    <w:p w:rsidR="00000000" w:rsidDel="00000000" w:rsidP="00000000" w:rsidRDefault="00000000" w:rsidRPr="00000000" w14:paraId="0000003E">
      <w:pPr>
        <w:pStyle w:val="Heading2"/>
        <w:rPr/>
      </w:pPr>
      <w:r w:rsidDel="00000000" w:rsidR="00000000" w:rsidRPr="00000000">
        <w:rPr>
          <w:rtl w:val="0"/>
        </w:rPr>
        <w:t xml:space="preserve">5.2 Lawyer well-being and substance use (as discussed + cited)</w:t>
      </w:r>
    </w:p>
    <w:p w:rsidR="00000000" w:rsidDel="00000000" w:rsidP="00000000" w:rsidRDefault="00000000" w:rsidRPr="00000000" w14:paraId="0000003F">
      <w:pPr>
        <w:rPr/>
      </w:pPr>
      <w:r w:rsidDel="00000000" w:rsidR="00000000" w:rsidRPr="00000000">
        <w:rPr>
          <w:rtl w:val="0"/>
        </w:rPr>
        <w:t xml:space="preserve">The interview references a 2016 study associated with the Hazelden Betty Ford Foundation and the ABA. In the interview, the guest describes the findings qualitatively and notes that, depending on measurement, a substantial minority of lawyers could be classified as problem drinkers.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Transcript anchor: The guest references the 2016 study and describes the range ‘somewhere between a fifth and a third’ around ~00:54:44–00:55:02.</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The guest also emphasizes that alcoholism is a disease and mindfulness is not a substitute for treatment; mindfulness may be a supportive practice but not a standalone intervention (around ~00:55:04–00:55:12).</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1"/>
        <w:rPr/>
      </w:pPr>
      <w:r w:rsidDel="00000000" w:rsidR="00000000" w:rsidRPr="00000000">
        <w:rPr>
          <w:rtl w:val="0"/>
        </w:rPr>
        <w:t xml:space="preserve">6. Core Mindfulness Practices Taught in the Interview (Step-by-Step)</w:t>
      </w:r>
    </w:p>
    <w:p w:rsidR="00000000" w:rsidDel="00000000" w:rsidP="00000000" w:rsidRDefault="00000000" w:rsidRPr="00000000" w14:paraId="00000044">
      <w:pPr>
        <w:rPr/>
      </w:pPr>
      <w:r w:rsidDel="00000000" w:rsidR="00000000" w:rsidRPr="00000000">
        <w:rPr>
          <w:rtl w:val="0"/>
        </w:rPr>
        <w:t xml:space="preserve">This section expands the practical techniques described in the interview so participants can apply them without taking notes. The goal is to make each practice ‘plug-and-play’ for common lawyering moments: tight deadlines, difficult conversations, anxious anticipation, or post-hearing rumination.</w:t>
      </w:r>
    </w:p>
    <w:p w:rsidR="00000000" w:rsidDel="00000000" w:rsidP="00000000" w:rsidRDefault="00000000" w:rsidRPr="00000000" w14:paraId="00000045">
      <w:pPr>
        <w:pStyle w:val="Heading2"/>
        <w:rPr/>
      </w:pPr>
      <w:r w:rsidDel="00000000" w:rsidR="00000000" w:rsidRPr="00000000">
        <w:rPr>
          <w:rtl w:val="0"/>
        </w:rPr>
        <w:t xml:space="preserve">6.1 Foundational idea: attention as a spotlight (micro-exercise)</w:t>
      </w:r>
    </w:p>
    <w:p w:rsidR="00000000" w:rsidDel="00000000" w:rsidP="00000000" w:rsidRDefault="00000000" w:rsidRPr="00000000" w14:paraId="00000046">
      <w:pPr>
        <w:rPr/>
      </w:pPr>
      <w:r w:rsidDel="00000000" w:rsidR="00000000" w:rsidRPr="00000000">
        <w:rPr>
          <w:rtl w:val="0"/>
        </w:rPr>
        <w:t xml:space="preserve">The interview uses a simple demonstration: by aiming attention at a specific sensation (such as a foot on the floor), that sensation becomes vivid. This demonstrates that attention can be directed deliberately—an essential premise for mindfulness training.</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Step 1: Choose a neutral anchor you can access anywhere (contact of foot with floor; hands; breath; sounds).</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Step 2: Place attention on the anchor and notice the raw sensations (pressure, warmth, coolness).</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Step 3: When attention moves elsewhere, note that it moved, and return to the anchor.</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Transcript anchor: Foot-on-the-floor demonstration begins around ~00:26:33.</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2"/>
        <w:rPr/>
      </w:pPr>
      <w:r w:rsidDel="00000000" w:rsidR="00000000" w:rsidRPr="00000000">
        <w:rPr>
          <w:rtl w:val="0"/>
        </w:rPr>
        <w:t xml:space="preserve">6.2 Breath as an anchor (and what not to do)</w:t>
      </w:r>
    </w:p>
    <w:p w:rsidR="00000000" w:rsidDel="00000000" w:rsidP="00000000" w:rsidRDefault="00000000" w:rsidRPr="00000000" w14:paraId="0000004D">
      <w:pPr>
        <w:rPr/>
      </w:pPr>
      <w:r w:rsidDel="00000000" w:rsidR="00000000" w:rsidRPr="00000000">
        <w:rPr>
          <w:rtl w:val="0"/>
        </w:rPr>
        <w:t xml:space="preserve">The guest emphasizes that this is not breath control. It is attentional practice that uses the breath as a stable, always-available anchor. Participants are instructed to let breathing happen naturally and simply observe sensations (often at the nostrils or abdomen).</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Let the breath find its own rhythm; do not force longer or deeper breathing unless you are intentionally doing a separate breath-control practice.</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Rest attention on the sensations of the breath; notice texture, movement, temperature, or rhythm.</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Transcript anchor: Natural breathing (no intentional control) is discussed around ~00:28:50–00:29:36.</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2"/>
        <w:rPr/>
      </w:pPr>
      <w:r w:rsidDel="00000000" w:rsidR="00000000" w:rsidRPr="00000000">
        <w:rPr>
          <w:rtl w:val="0"/>
        </w:rPr>
        <w:t xml:space="preserve">6.3 The ‘wandering is normal’ loop (the core rep)</w:t>
      </w:r>
    </w:p>
    <w:p w:rsidR="00000000" w:rsidDel="00000000" w:rsidP="00000000" w:rsidRDefault="00000000" w:rsidRPr="00000000" w14:paraId="00000053">
      <w:pPr>
        <w:rPr/>
      </w:pPr>
      <w:r w:rsidDel="00000000" w:rsidR="00000000" w:rsidRPr="00000000">
        <w:rPr>
          <w:rtl w:val="0"/>
        </w:rPr>
        <w:t xml:space="preserve">A detailed section of the interview addresses a common barrier: people think they are ‘bad at meditation’ because attention wanders. The guest reframes this: wandering is expected; noticing and returning is the practice.</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Notice wandering (“Ah—my attention wandered.”).</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Gently escort attention back to the anchor (e.g., breath sensations at the nostrils).</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Begin again without self-criticism; repetition is the training.</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this trains (interview framing): (a) stability of attention and (b) awareness of where attention is right now.</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Transcript anchor: This explanation appears around ~00:30:27–00:31:38.</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2"/>
        <w:rPr/>
      </w:pPr>
      <w:r w:rsidDel="00000000" w:rsidR="00000000" w:rsidRPr="00000000">
        <w:rPr>
          <w:rtl w:val="0"/>
        </w:rPr>
        <w:t xml:space="preserve">6.4 Mindful mini pause (30-second tool during calls and conversations)</w:t>
      </w:r>
    </w:p>
    <w:p w:rsidR="00000000" w:rsidDel="00000000" w:rsidP="00000000" w:rsidRDefault="00000000" w:rsidRPr="00000000" w14:paraId="0000005B">
      <w:pPr>
        <w:rPr/>
      </w:pPr>
      <w:r w:rsidDel="00000000" w:rsidR="00000000" w:rsidRPr="00000000">
        <w:rPr>
          <w:rtl w:val="0"/>
        </w:rPr>
        <w:t xml:space="preserve">Later in the interview, the guest introduces a ‘mindful mini pause’ designed for real-time use when you are stressed or anxious during a call or conversation. It is intentionally subtle: it can be done without changing facial expression or interrupting the interaction.</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Inhale: take one quiet breath and slow the inhale slightly (no dramatic breath).</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Exhale: place a small amount of attention on body sensations (e.g., butt on the chair; warmth/coolness; touch of clothing).</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stress sensations are present (knot in stomach; tingling), include them gently rather than flinching away.</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Repeat as needed—one breath at a time.</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Transcript anchor: Mindful mini pause explanation begins around ~00:53:03.</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pStyle w:val="Heading2"/>
        <w:rPr/>
      </w:pPr>
      <w:r w:rsidDel="00000000" w:rsidR="00000000" w:rsidRPr="00000000">
        <w:rPr>
          <w:rtl w:val="0"/>
        </w:rPr>
        <w:t xml:space="preserve">6.5 Labeling practice: ‘thinking’ vs. ‘feeling’ to reduce rumination</w:t>
      </w:r>
    </w:p>
    <w:p w:rsidR="00000000" w:rsidDel="00000000" w:rsidP="00000000" w:rsidRDefault="00000000" w:rsidRPr="00000000" w14:paraId="00000063">
      <w:pPr>
        <w:rPr/>
      </w:pPr>
      <w:r w:rsidDel="00000000" w:rsidR="00000000" w:rsidRPr="00000000">
        <w:rPr>
          <w:rtl w:val="0"/>
        </w:rPr>
        <w:t xml:space="preserve">The interview describes avoidance and rumination as two ways stress becomes more painful. The labeling practice is offered as a support tool: it helps you notice whether you are in thoughts (story, interpretation, prediction) or in sensations (body experience).</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Step 1: Notice sensations in the body (tightness, heat, butterflies, pounding heart).</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Step 2: When a sensation is prominent, mentally label: “feeling.”</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Step 3: When a thought arises and pulls you into narrative, label: “thinking.”</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Step 4: Return to body sensations as an anchor, without forcing them to change.</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Transcript anchor: Labeling ‘feeling’/‘thinking’ is explained around ~00:50:46–00:51:35.</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Heading2"/>
        <w:rPr/>
      </w:pPr>
      <w:r w:rsidDel="00000000" w:rsidR="00000000" w:rsidRPr="00000000">
        <w:rPr>
          <w:rtl w:val="0"/>
        </w:rPr>
        <w:t xml:space="preserve">6.6 “Short sessions, many times” (how to make this realistic)</w:t>
      </w:r>
    </w:p>
    <w:p w:rsidR="00000000" w:rsidDel="00000000" w:rsidP="00000000" w:rsidRDefault="00000000" w:rsidRPr="00000000" w14:paraId="0000006B">
      <w:pPr>
        <w:rPr/>
      </w:pPr>
      <w:r w:rsidDel="00000000" w:rsidR="00000000" w:rsidRPr="00000000">
        <w:rPr>
          <w:rtl w:val="0"/>
        </w:rPr>
        <w:t xml:space="preserve">A pragmatic message for busy lawyers is that mindfulness does not need long sessions to be useful. The interview endorses frequent short practices as a sustainable way to build skill.</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Aim for short sessions you will actually do (e.g., 1–5 minutes), repeated across the day.</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natural “gaps” (before opening email; before a call; after a stressful interaction; between tasks).</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Transcript anchor: “Short sessions many times” appears around ~00:47:01 and ~00:47:22.</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pStyle w:val="Heading1"/>
        <w:rPr/>
      </w:pPr>
      <w:r w:rsidDel="00000000" w:rsidR="00000000" w:rsidRPr="00000000">
        <w:rPr>
          <w:rtl w:val="0"/>
        </w:rPr>
        <w:t xml:space="preserve">7. Applications to Common Legal Work Scenarios</w:t>
      </w:r>
    </w:p>
    <w:p w:rsidR="00000000" w:rsidDel="00000000" w:rsidP="00000000" w:rsidRDefault="00000000" w:rsidRPr="00000000" w14:paraId="00000071">
      <w:pPr>
        <w:rPr/>
      </w:pPr>
      <w:r w:rsidDel="00000000" w:rsidR="00000000" w:rsidRPr="00000000">
        <w:rPr>
          <w:rtl w:val="0"/>
        </w:rPr>
        <w:t xml:space="preserve">Below are practical applications that translate the interview’s techniques into high-frequency lawyering moments. They are written as scripts/checklists so participants can use them without improvising.</w:t>
      </w:r>
    </w:p>
    <w:p w:rsidR="00000000" w:rsidDel="00000000" w:rsidP="00000000" w:rsidRDefault="00000000" w:rsidRPr="00000000" w14:paraId="00000072">
      <w:pPr>
        <w:pStyle w:val="Heading2"/>
        <w:rPr/>
      </w:pPr>
      <w:r w:rsidDel="00000000" w:rsidR="00000000" w:rsidRPr="00000000">
        <w:rPr>
          <w:rtl w:val="0"/>
        </w:rPr>
        <w:t xml:space="preserve">7.1 Before a negotiation or difficult call (2 minutes)</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one mindful mini pause: slow one inhale; place attention on body sensation during exhale.</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 your objective (one sentence) and your constraint (one sentence).</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anxiety is present, label it “feeling” and return to body sensations for two breaths.</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Proceed with the call; repeat the mini pause silently if you feel reactive.</w:t>
      </w:r>
    </w:p>
    <w:p w:rsidR="00000000" w:rsidDel="00000000" w:rsidP="00000000" w:rsidRDefault="00000000" w:rsidRPr="00000000" w14:paraId="00000077">
      <w:pPr>
        <w:pStyle w:val="Heading2"/>
        <w:rPr/>
      </w:pPr>
      <w:r w:rsidDel="00000000" w:rsidR="00000000" w:rsidRPr="00000000">
        <w:rPr>
          <w:rtl w:val="0"/>
        </w:rPr>
        <w:t xml:space="preserve">7.2 During document review or research blocks (30 seconds)</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Set a timer every 25–45 minutes for a micro-reset.</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the reset: place attention on feet on floor (or hands) for 3 breaths; notice tension areas; soften jaw/shoulders if possible.</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Return to task and note whether attention feels clearer; avoid judging the result.</w:t>
      </w:r>
    </w:p>
    <w:p w:rsidR="00000000" w:rsidDel="00000000" w:rsidP="00000000" w:rsidRDefault="00000000" w:rsidRPr="00000000" w14:paraId="0000007B">
      <w:pPr>
        <w:pStyle w:val="Heading2"/>
        <w:rPr/>
      </w:pPr>
      <w:r w:rsidDel="00000000" w:rsidR="00000000" w:rsidRPr="00000000">
        <w:rPr>
          <w:rtl w:val="0"/>
        </w:rPr>
        <w:t xml:space="preserve">7.3 After a high-stakes event (hearing, deposition day, major filing)</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Notice whether your mind is replaying the event; label “thinking.”</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Shift attention to a neutral anchor (breath, feet, sounds) for 60 seconds.</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 need to debrief, schedule it. The goal is to avoid involuntary rumination loops in the meantime.</w:t>
      </w:r>
    </w:p>
    <w:p w:rsidR="00000000" w:rsidDel="00000000" w:rsidP="00000000" w:rsidRDefault="00000000" w:rsidRPr="00000000" w14:paraId="0000007F">
      <w:pPr>
        <w:pStyle w:val="Heading1"/>
        <w:rPr/>
      </w:pPr>
      <w:r w:rsidDel="00000000" w:rsidR="00000000" w:rsidRPr="00000000">
        <w:rPr>
          <w:rtl w:val="0"/>
        </w:rPr>
        <w:t xml:space="preserve">8. What the Profession and Legal Employers Can Do (Beyond Individual Practice)</w:t>
      </w:r>
    </w:p>
    <w:p w:rsidR="00000000" w:rsidDel="00000000" w:rsidP="00000000" w:rsidRDefault="00000000" w:rsidRPr="00000000" w14:paraId="00000080">
      <w:pPr>
        <w:rPr/>
      </w:pPr>
      <w:r w:rsidDel="00000000" w:rsidR="00000000" w:rsidRPr="00000000">
        <w:rPr>
          <w:rtl w:val="0"/>
        </w:rPr>
        <w:t xml:space="preserve">The original outline emphasizes that well-being is also a systems issue. It points to ABA and Task Force initiatives that encourage employers to reduce stigma, connect well-being to competence, and take incremental steps to improve working conditions. The interview’s own caution against ‘it’s all on you’ messaging aligns with this section.</w:t>
      </w:r>
    </w:p>
    <w:p w:rsidR="00000000" w:rsidDel="00000000" w:rsidP="00000000" w:rsidRDefault="00000000" w:rsidRPr="00000000" w14:paraId="00000081">
      <w:pPr>
        <w:pStyle w:val="Heading2"/>
        <w:rPr/>
      </w:pPr>
      <w:r w:rsidDel="00000000" w:rsidR="00000000" w:rsidRPr="00000000">
        <w:rPr>
          <w:rtl w:val="0"/>
        </w:rPr>
        <w:t xml:space="preserve">8.1 National Task Force on Lawyer Well-Being (themes reflected in the outline)</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stakeholders and what each can do to reduce toxicity and promote well-being.</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Reduce stigma associated with seeking help (normalize early support rather than crisis-only intervention).</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Emphasize the connection between well-being and the duty of competence.</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Educate the profession on mental health and substance use issues.</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Take incremental steps to change how law is practiced (policies, workload norms, leadership behavior).</w:t>
      </w:r>
    </w:p>
    <w:p w:rsidR="00000000" w:rsidDel="00000000" w:rsidP="00000000" w:rsidRDefault="00000000" w:rsidRPr="00000000" w14:paraId="00000087">
      <w:pPr>
        <w:pStyle w:val="Heading2"/>
        <w:rPr/>
      </w:pPr>
      <w:r w:rsidDel="00000000" w:rsidR="00000000" w:rsidRPr="00000000">
        <w:rPr>
          <w:rtl w:val="0"/>
        </w:rPr>
        <w:t xml:space="preserve">8.2 Employer implementation checklist (practical)</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Leadership messaging: make it explicit that seeking support is encouraged and confidential resources exist.</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Workload hygiene: treat chronic ‘always-on’ expectations as a risk factor; evaluate staffing and turnaround norms.</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Training: offer skill-based programs (mindfulness, stress skills) while also reviewing structural drivers (autonomy, scheduling).</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Access to help: publicize Lawyer Assistance Programs and internal EAP options; remove barriers to use.</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Follow-up: measure participation, solicit feedback, and iterate.</w:t>
      </w:r>
    </w:p>
    <w:p w:rsidR="00000000" w:rsidDel="00000000" w:rsidP="00000000" w:rsidRDefault="00000000" w:rsidRPr="00000000" w14:paraId="0000008D">
      <w:pPr>
        <w:pStyle w:val="Heading1"/>
        <w:rPr/>
      </w:pPr>
      <w:r w:rsidDel="00000000" w:rsidR="00000000" w:rsidRPr="00000000">
        <w:rPr>
          <w:rtl w:val="0"/>
        </w:rPr>
        <w:t xml:space="preserve">9. Substance Use, Mental Health, and When to Escalate</w:t>
      </w:r>
    </w:p>
    <w:p w:rsidR="00000000" w:rsidDel="00000000" w:rsidP="00000000" w:rsidRDefault="00000000" w:rsidRPr="00000000" w14:paraId="0000008E">
      <w:pPr>
        <w:rPr/>
      </w:pPr>
      <w:r w:rsidDel="00000000" w:rsidR="00000000" w:rsidRPr="00000000">
        <w:rPr>
          <w:rtl w:val="0"/>
        </w:rPr>
        <w:t xml:space="preserve">The interview explicitly raises alcohol use as a common coping pattern and cautions against treating mindfulness as a substitute for medical or recovery support. This section is designed to be practical and non-stigmatizing.</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Practice note: If you are concerned about yourself or someone else (persistent depression/anxiety, substance dependence, suicidal thoughts), seek professional help immediately and use Lawyer Assistance Programs or emergency services as appropriate.</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mindfulness as an adjunct skill (e.g., to notice cravings or stress triggers), not as a replacement for treatment.</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your workplace culture discourages help-seeking, treat that as a structural risk and use confidential resources outside the employer as needed.</w:t>
      </w:r>
    </w:p>
    <w:p w:rsidR="00000000" w:rsidDel="00000000" w:rsidP="00000000" w:rsidRDefault="00000000" w:rsidRPr="00000000" w14:paraId="00000092">
      <w:pPr>
        <w:pStyle w:val="Heading1"/>
        <w:rPr/>
      </w:pPr>
      <w:r w:rsidDel="00000000" w:rsidR="00000000" w:rsidRPr="00000000">
        <w:rPr>
          <w:rtl w:val="0"/>
        </w:rPr>
        <w:t xml:space="preserve">10. Practical Templates (Designed to Reduce Note-Taking)</w:t>
      </w:r>
    </w:p>
    <w:p w:rsidR="00000000" w:rsidDel="00000000" w:rsidP="00000000" w:rsidRDefault="00000000" w:rsidRPr="00000000" w14:paraId="00000093">
      <w:pPr>
        <w:pStyle w:val="Heading2"/>
        <w:rPr/>
      </w:pPr>
      <w:r w:rsidDel="00000000" w:rsidR="00000000" w:rsidRPr="00000000">
        <w:rPr>
          <w:rtl w:val="0"/>
        </w:rPr>
        <w:t xml:space="preserve">10.1 The 30-second ‘mini pause’ script (copy/paste)</w:t>
      </w:r>
    </w:p>
    <w:p w:rsidR="00000000" w:rsidDel="00000000" w:rsidP="00000000" w:rsidRDefault="00000000" w:rsidRPr="00000000" w14:paraId="00000094">
      <w:pPr>
        <w:rPr/>
      </w:pPr>
      <w:r w:rsidDel="00000000" w:rsidR="00000000" w:rsidRPr="00000000">
        <w:rPr>
          <w:rtl w:val="0"/>
        </w:rPr>
        <w:t xml:space="preserve">Inhale (quiet): slow one breath slightly. Exhale: feel one body sensation (chair contact, warmth/coolness, clothing). If stress is present, include it gently for one exhale. Repeat once.</w:t>
      </w:r>
    </w:p>
    <w:p w:rsidR="00000000" w:rsidDel="00000000" w:rsidP="00000000" w:rsidRDefault="00000000" w:rsidRPr="00000000" w14:paraId="00000095">
      <w:pPr>
        <w:pStyle w:val="Heading2"/>
        <w:rPr/>
      </w:pPr>
      <w:r w:rsidDel="00000000" w:rsidR="00000000" w:rsidRPr="00000000">
        <w:rPr>
          <w:rtl w:val="0"/>
        </w:rPr>
        <w:t xml:space="preserve">10.2 Labeling practice cue card (60 seconds)</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Step 1: Notice body sensations (tightness, heat, butterflies).</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Step 2: Sensation → label “feeling.”</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Step 3: Thought/story → label “thinking.”</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Step 4: Return to body sensations for two breaths.</w:t>
      </w:r>
    </w:p>
    <w:p w:rsidR="00000000" w:rsidDel="00000000" w:rsidP="00000000" w:rsidRDefault="00000000" w:rsidRPr="00000000" w14:paraId="0000009A">
      <w:pPr>
        <w:pStyle w:val="Heading2"/>
        <w:rPr/>
      </w:pPr>
      <w:r w:rsidDel="00000000" w:rsidR="00000000" w:rsidRPr="00000000">
        <w:rPr>
          <w:rtl w:val="0"/>
        </w:rPr>
        <w:t xml:space="preserve">10.3 A realistic daily plan (5 minutes total)</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Morning (2 minutes): breath as anchor; notice wandering; return.</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Midday (1 minute): mini pause before a call or meeting.</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Afternoon (1 minute): feet-on-floor attention reset between tasks.</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Evening (1 minute): label ‘thinking/feeling’ to reduce replaying the day.</w:t>
      </w:r>
    </w:p>
    <w:p w:rsidR="00000000" w:rsidDel="00000000" w:rsidP="00000000" w:rsidRDefault="00000000" w:rsidRPr="00000000" w14:paraId="0000009F">
      <w:pPr>
        <w:pStyle w:val="Heading1"/>
        <w:rPr/>
      </w:pPr>
      <w:r w:rsidDel="00000000" w:rsidR="00000000" w:rsidRPr="00000000">
        <w:rPr>
          <w:rtl w:val="0"/>
        </w:rPr>
        <w:t xml:space="preserve">11. Additional Resources</w:t>
      </w:r>
    </w:p>
    <w:p w:rsidR="00000000" w:rsidDel="00000000" w:rsidP="00000000" w:rsidRDefault="00000000" w:rsidRPr="00000000" w14:paraId="000000A0">
      <w:pPr>
        <w:pStyle w:val="Heading2"/>
        <w:rPr/>
      </w:pPr>
      <w:r w:rsidDel="00000000" w:rsidR="00000000" w:rsidRPr="00000000">
        <w:rPr>
          <w:rtl w:val="0"/>
        </w:rPr>
        <w:t xml:space="preserve">11.1 Research and Articles</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Hölzel BK et al. “Mindfulness practice leads to increases in regional brain gray matter density.” Psychiatry Research: Neuroimaging (2011). PubMed: https://pubmed.ncbi.nlm.nih.gov/21071182/ ; Free full text (PMC): https://pmc.ncbi.nlm.nih.gov/articles/PMC3004979/</w:t>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Seligman MEP, Verkuil PR, Kang TH. “Why Lawyers Are Unhappy.” Deakin Law Review (PDF): https://ojs.deakin.edu.au/index.php/dlr/article/download/268/272/537</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Krill PR, Johnson R, Albert L. “The Prevalence of Substance Use and Other Mental Health Concerns Among American Attorneys.” Journal of Addiction Medicine (2016). PubMed: https://pubmed.ncbi.nlm.nih.gov/26825268/ ; Free full text (PMC): https://pmc.ncbi.nlm.nih.gov/articles/PMC4736291/</w:t>
      </w:r>
    </w:p>
    <w:p w:rsidR="00000000" w:rsidDel="00000000" w:rsidP="00000000" w:rsidRDefault="00000000" w:rsidRPr="00000000" w14:paraId="000000A4">
      <w:pPr>
        <w:pStyle w:val="Heading2"/>
        <w:rPr/>
      </w:pPr>
      <w:r w:rsidDel="00000000" w:rsidR="00000000" w:rsidRPr="00000000">
        <w:rPr>
          <w:rtl w:val="0"/>
        </w:rPr>
        <w:t xml:space="preserve">11.2 ABA / Task Force Resources</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ABA Report from the National Task Force on Lawyer Well-Being (task force report page): https://www.americanbar.org/groups/lawyer_assistance/task_force_report/</w:t>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National Task Force on Lawyer Well-Being (site): https://lawyerwellbeing.net/</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ABA Attorney Well-Being Committee: https://www.americanbar.org/groups/law_practice/about/committees/attorney-well-being/</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ABA Well-Being Pledge Campaign: https://www.americanbar.org/groups/lawyer_assistance/well-being-in-the-legal-profession/well-being-pledge-campaign/</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ABA Directory of Lawyer Assistance Programs (by state): https://www.americanbar.org/groups/lawyer_assistance/resources/lap_programs_by_state/</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L0VTLpqGY5Vr6Yg3GwkNINOkOQ==">CgMxLjA4AHIhMVFmRFo4Vkp2djUwajZVQTE0a3pESkZ5MjdyMmI2VURP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