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Dying Without a Will</w:t>
      </w:r>
    </w:p>
    <w:p>
      <w:pPr>
        <w:spacing w:after="200"/>
      </w:pPr>
      <w:r>
        <w:rPr>
          <w:rFonts w:ascii="Montserrat" w:cs="Montserrat" w:eastAsia="Montserrat" w:hAnsi="Montserrat"/>
          <w:b/>
          <w:bCs/>
          <w:color w:val="E87722"/>
          <w:sz w:val="24"/>
          <w:szCs w:val="24"/>
        </w:rPr>
        <w:t>Prof. John Morley, Yale Law School</w:t>
      </w:r>
    </w:p>
    <w:p>
      <w:pPr>
        <w:pStyle w:val="Heading2"/>
        <w:spacing w:after="120" w:before="240"/>
      </w:pPr>
      <w:r>
        <w:rPr>
          <w:b/>
          <w:bCs/>
        </w:rPr>
        <w:t>Overview</w:t>
      </w:r>
    </w:p>
    <w:p>
      <w:pPr>
        <w:spacing w:after="160"/>
      </w:pPr>
      <w:r>
        <w:t>This program examines intestacy law, the default rules that govern the distribution of property when a person dies without a will, and the results of a nationally representative survey of 9,000 American adults conducted by Professors John Morley and Yair Listokin of Yale Law School. Professor Morley explains how intestacy statutes work, where Americans' stated preferences diverge from them, and what those differences suggest for reform and for estate planning practice. The discussion was recorded in 2023; the Developments to Know section summarizes later changes.</w:t>
      </w:r>
    </w:p>
    <w:p>
      <w:pPr>
        <w:pStyle w:val="Heading2"/>
        <w:spacing w:after="120" w:before="240"/>
      </w:pPr>
      <w:r>
        <w:rPr>
          <w:b/>
          <w:bCs/>
        </w:rPr>
        <w:t>Learning Objectives</w:t>
      </w:r>
    </w:p>
    <w:p>
      <w:pPr>
        <w:pStyle w:val="ListParagraph"/>
        <w:numPr>
          <w:ilvl w:val="0"/>
          <w:numId w:val="1"/>
        </w:numPr>
        <w:spacing w:after="80"/>
      </w:pPr>
      <w:r>
        <w:t>Explain the distinction between testate and intestate succession and the majoritarian rationale for intestacy statutes.</w:t>
      </w:r>
    </w:p>
    <w:p>
      <w:pPr>
        <w:pStyle w:val="ListParagraph"/>
        <w:numPr>
          <w:ilvl w:val="0"/>
          <w:numId w:val="1"/>
        </w:numPr>
        <w:spacing w:after="80"/>
      </w:pPr>
      <w:r>
        <w:t>Describe how states allocate an intestate estate between a surviving spouse and children, including in blended families.</w:t>
      </w:r>
    </w:p>
    <w:p>
      <w:pPr>
        <w:pStyle w:val="ListParagraph"/>
        <w:numPr>
          <w:ilvl w:val="0"/>
          <w:numId w:val="1"/>
        </w:numPr>
        <w:spacing w:after="80"/>
      </w:pPr>
      <w:r>
        <w:t>Summarize the survey's principal findings on spouses, nonmarital partners, stepchildren, parents, siblings, and other beneficiaries.</w:t>
      </w:r>
    </w:p>
    <w:p>
      <w:pPr>
        <w:pStyle w:val="ListParagraph"/>
        <w:numPr>
          <w:ilvl w:val="0"/>
          <w:numId w:val="1"/>
        </w:numPr>
        <w:spacing w:after="80"/>
      </w:pPr>
      <w:r>
        <w:t>Evaluate how race, gender, and socioeconomic status correlate with dispositive preferences and the policy questions those correlations raise.</w:t>
      </w:r>
    </w:p>
    <w:p>
      <w:pPr>
        <w:pStyle w:val="ListParagraph"/>
        <w:numPr>
          <w:ilvl w:val="0"/>
          <w:numId w:val="1"/>
        </w:numPr>
        <w:spacing w:after="80"/>
      </w:pPr>
      <w:r>
        <w:t>Identify the elective share, pretermitted child, and will-execution rules that limit or complicate testamentary freedom.</w:t>
      </w:r>
    </w:p>
    <w:p>
      <w:pPr>
        <w:pStyle w:val="ListParagraph"/>
        <w:numPr>
          <w:ilvl w:val="0"/>
          <w:numId w:val="1"/>
        </w:numPr>
        <w:spacing w:after="80"/>
      </w:pPr>
      <w:r>
        <w:t>Apply the findings to client counseling, including the risks for unmarried partners and stepchildren who lack a will.</w:t>
      </w:r>
    </w:p>
    <w:p>
      <w:pPr>
        <w:pStyle w:val="Heading2"/>
        <w:spacing w:after="120" w:before="240"/>
      </w:pPr>
      <w:r>
        <w:rPr>
          <w:b/>
          <w:bCs/>
        </w:rPr>
        <w:t>Intestacy Basics</w:t>
      </w:r>
    </w:p>
    <w:p>
      <w:pPr>
        <w:pStyle w:val="ListParagraph"/>
        <w:numPr>
          <w:ilvl w:val="0"/>
          <w:numId w:val="1"/>
        </w:numPr>
        <w:spacing w:after="80"/>
      </w:pPr>
      <w:r>
        <w:t>Testate and intestate. A person who dies with a valid will is testate and the will controls; a person who dies without one is intestate, and the state's intestacy statute determines who takes.</w:t>
      </w:r>
    </w:p>
    <w:p>
      <w:pPr>
        <w:pStyle w:val="ListParagraph"/>
        <w:numPr>
          <w:ilvl w:val="0"/>
          <w:numId w:val="1"/>
        </w:numPr>
        <w:spacing w:after="80"/>
      </w:pPr>
      <w:r>
        <w:t>Majoritarian defaults. Intestacy statutes aim to approximate what most decedents would have wanted. They generally favor the spouse and descendants and then move outward to parents, siblings, and more remote relatives.</w:t>
      </w:r>
    </w:p>
    <w:p>
      <w:pPr>
        <w:pStyle w:val="ListParagraph"/>
        <w:numPr>
          <w:ilvl w:val="0"/>
          <w:numId w:val="1"/>
        </w:numPr>
        <w:spacing w:after="80"/>
      </w:pPr>
      <w:r>
        <w:t>Spouse and children. Roughly half the states give the surviving spouse half or less when the decedent leaves children; others give the spouse the entire estate, at least where all children are also the spouse's. Where the decedent has children from another relationship, statutes such as the Uniform Probate Code give the spouse a fixed amount plus a fraction of the balance.</w:t>
      </w:r>
    </w:p>
    <w:p>
      <w:pPr>
        <w:pStyle w:val="ListParagraph"/>
        <w:numPr>
          <w:ilvl w:val="0"/>
          <w:numId w:val="1"/>
        </w:numPr>
        <w:spacing w:after="80"/>
      </w:pPr>
      <w:r>
        <w:t>Parents before siblings. If there is no spouse or descendant, intestacy statutes generally give the estate to surviving parents before siblings.</w:t>
      </w:r>
    </w:p>
    <w:p>
      <w:pPr>
        <w:pStyle w:val="ListParagraph"/>
        <w:numPr>
          <w:ilvl w:val="0"/>
          <w:numId w:val="1"/>
        </w:numPr>
        <w:spacing w:after="80"/>
      </w:pPr>
      <w:r>
        <w:t>Stepchildren. Stepchildren usually take nothing in intestacy unless no other relatives survive. Adoption makes a stepchild a child for intestacy purposes; adult adoptions generally do not alter gifts under instruments created by others.</w:t>
      </w:r>
    </w:p>
    <w:p>
      <w:pPr>
        <w:pStyle w:val="ListParagraph"/>
        <w:numPr>
          <w:ilvl w:val="0"/>
          <w:numId w:val="1"/>
        </w:numPr>
        <w:spacing w:after="80"/>
      </w:pPr>
      <w:r>
        <w:t>Paternalism and expertise. Morley argues that intestacy rules reflect a mix of majoritarian preferences, paternalism, and administrative efficiency, and that they have been shaped largely by the experience of trusts and estates lawyers whose clients are disproportionately wealthy.</w:t>
      </w:r>
    </w:p>
    <w:p>
      <w:pPr>
        <w:pStyle w:val="Heading2"/>
        <w:spacing w:after="120" w:before="240"/>
      </w:pPr>
      <w:r>
        <w:rPr>
          <w:b/>
          <w:bCs/>
        </w:rPr>
        <w:t>The Survey</w:t>
      </w:r>
    </w:p>
    <w:p>
      <w:pPr>
        <w:pStyle w:val="ListParagraph"/>
        <w:numPr>
          <w:ilvl w:val="0"/>
          <w:numId w:val="1"/>
        </w:numPr>
        <w:spacing w:after="80"/>
      </w:pPr>
      <w:r>
        <w:t>Method. The authors asked a representative sample of 9,000 adults to divide their property as if they died immediately. Earlier empirical work relied on probated wills, which exclude people without wills and cannot reveal family relationships such as stepchildren or nonmarital partners.</w:t>
      </w:r>
    </w:p>
    <w:p>
      <w:pPr>
        <w:pStyle w:val="ListParagraph"/>
        <w:numPr>
          <w:ilvl w:val="0"/>
          <w:numId w:val="1"/>
        </w:numPr>
        <w:spacing w:after="80"/>
      </w:pPr>
      <w:r>
        <w:t>Spouses. In a traditional family with children, the Uniform Probate Code gives the spouse 100% of an intestate estate; respondents preferred to give about 52% on average. Preferences cluster at the extremes: about a third would give the spouse everything, and nearly as many would give nothing.</w:t>
      </w:r>
    </w:p>
    <w:p>
      <w:pPr>
        <w:pStyle w:val="ListParagraph"/>
        <w:numPr>
          <w:ilvl w:val="0"/>
          <w:numId w:val="1"/>
        </w:numPr>
        <w:spacing w:after="80"/>
      </w:pPr>
      <w:r>
        <w:t>Nonmarital partners. No state's intestacy statute provides for an unregistered nonmarital partner, yet the average preferred gift to a live-in partner was 43% for respondents without children and 58% for those with neither children nor living parents. Cohabitation, its length, and naming the partner on a retirement account or insurance policy were strong predictors; sharing a pet was also predictive.</w:t>
      </w:r>
    </w:p>
    <w:p>
      <w:pPr>
        <w:pStyle w:val="ListParagraph"/>
        <w:numPr>
          <w:ilvl w:val="0"/>
          <w:numId w:val="1"/>
        </w:numPr>
        <w:spacing w:after="80"/>
      </w:pPr>
      <w:r>
        <w:t>Stepchildren. Respondents preferred stepchildren over every category of beneficiary other than spouses and their own children, especially where they had lived with the stepchildren.</w:t>
      </w:r>
    </w:p>
    <w:p>
      <w:pPr>
        <w:pStyle w:val="ListParagraph"/>
        <w:numPr>
          <w:ilvl w:val="0"/>
          <w:numId w:val="1"/>
        </w:numPr>
        <w:spacing w:after="80"/>
      </w:pPr>
      <w:r>
        <w:t>Parents and siblings. Respondents without spouses or children split their estates roughly equally between parents and siblings, although intestacy statutes favor parents.</w:t>
      </w:r>
    </w:p>
    <w:p>
      <w:pPr>
        <w:pStyle w:val="ListParagraph"/>
        <w:numPr>
          <w:ilvl w:val="0"/>
          <w:numId w:val="1"/>
        </w:numPr>
        <w:spacing w:after="80"/>
      </w:pPr>
      <w:r>
        <w:t>Other beneficiaries. Respondents gave little to aunts, uncles, cousins, grandparents, or charity, but were generous to friends when they had no close relatives.</w:t>
      </w:r>
    </w:p>
    <w:p>
      <w:pPr>
        <w:pStyle w:val="ListParagraph"/>
        <w:numPr>
          <w:ilvl w:val="0"/>
          <w:numId w:val="1"/>
        </w:numPr>
        <w:spacing w:after="80"/>
      </w:pPr>
      <w:r>
        <w:t>Demographics. Women, African Americans, and people with less education and income preferred smaller gifts to spouses and partners. Women gave roughly 10% less to spouses than men.</w:t>
      </w:r>
    </w:p>
    <w:p>
      <w:pPr>
        <w:pStyle w:val="Heading2"/>
        <w:spacing w:after="120" w:before="240"/>
      </w:pPr>
      <w:r>
        <w:rPr>
          <w:b/>
          <w:bCs/>
        </w:rPr>
        <w:t>Limits on Testamentary Freedom</w:t>
      </w:r>
    </w:p>
    <w:p>
      <w:pPr>
        <w:pStyle w:val="ListParagraph"/>
        <w:numPr>
          <w:ilvl w:val="0"/>
          <w:numId w:val="1"/>
        </w:numPr>
        <w:spacing w:after="80"/>
      </w:pPr>
      <w:r>
        <w:t>Elective share. In nearly every common-law state, a surviving spouse may claim a statutory share of the estate regardless of the will, so a will leaving a spouse nothing will not be fully honored.</w:t>
      </w:r>
    </w:p>
    <w:p>
      <w:pPr>
        <w:pStyle w:val="ListParagraph"/>
        <w:numPr>
          <w:ilvl w:val="0"/>
          <w:numId w:val="1"/>
        </w:numPr>
        <w:spacing w:after="80"/>
      </w:pPr>
      <w:r>
        <w:t>Children. Outside Louisiana, children generally have no forced share and may be disinherited by will. Pretermitted-child statutes may provide for a child born after the will was executed unless the will shows the omission was intentional.</w:t>
      </w:r>
    </w:p>
    <w:p>
      <w:pPr>
        <w:pStyle w:val="ListParagraph"/>
        <w:numPr>
          <w:ilvl w:val="0"/>
          <w:numId w:val="1"/>
        </w:numPr>
        <w:spacing w:after="80"/>
      </w:pPr>
      <w:r>
        <w:t>Execution formalities. Wills generally must be signed by the testator and attested by witnesses under requirements that vary by state, while beneficiary designations, payable-on-death accounts, and joint accounts can be changed with no witnesses at all. Many states temporarily relaxed presence requirements during the COVID-19 pandemic.</w:t>
      </w:r>
    </w:p>
    <w:p>
      <w:pPr>
        <w:pStyle w:val="Heading2"/>
        <w:spacing w:after="120" w:before="240"/>
      </w:pPr>
      <w:r>
        <w:rPr>
          <w:b/>
          <w:bCs/>
        </w:rPr>
        <w:t>Reform Proposals and Practice Points</w:t>
      </w:r>
    </w:p>
    <w:p>
      <w:pPr>
        <w:pStyle w:val="ListParagraph"/>
        <w:numPr>
          <w:ilvl w:val="0"/>
          <w:numId w:val="1"/>
        </w:numPr>
        <w:spacing w:after="80"/>
      </w:pPr>
      <w:r>
        <w:t>Spousal share. Morley suggests giving the spouse everything only up to a threshold and dividing larger estates between the spouse and children.</w:t>
      </w:r>
    </w:p>
    <w:p>
      <w:pPr>
        <w:pStyle w:val="ListParagraph"/>
        <w:numPr>
          <w:ilvl w:val="0"/>
          <w:numId w:val="1"/>
        </w:numPr>
        <w:spacing w:after="80"/>
      </w:pPr>
      <w:r>
        <w:t>Parents and siblings. Divide the estate equally between parents and siblings rather than giving parents priority.</w:t>
      </w:r>
    </w:p>
    <w:p>
      <w:pPr>
        <w:pStyle w:val="ListParagraph"/>
        <w:numPr>
          <w:ilvl w:val="0"/>
          <w:numId w:val="1"/>
        </w:numPr>
        <w:spacing w:after="80"/>
      </w:pPr>
      <w:r>
        <w:t>Stepchildren. Prefer stepchildren, particularly those the decedent lived with, over first-line collateral relatives such as aunts, uncles, and cousins.</w:t>
      </w:r>
    </w:p>
    <w:p>
      <w:pPr>
        <w:pStyle w:val="ListParagraph"/>
        <w:numPr>
          <w:ilvl w:val="0"/>
          <w:numId w:val="1"/>
        </w:numPr>
        <w:spacing w:after="80"/>
      </w:pPr>
      <w:r>
        <w:t>Demographic variables. Although race, gender, and class predict preferences, Morley would not build them into default rules; the findings nonetheless raise questions about what neutrality means when one rule fits some groups better than others.</w:t>
      </w:r>
    </w:p>
    <w:p>
      <w:pPr>
        <w:pStyle w:val="ListParagraph"/>
        <w:numPr>
          <w:ilvl w:val="0"/>
          <w:numId w:val="1"/>
        </w:numPr>
        <w:spacing w:after="80"/>
      </w:pPr>
      <w:r>
        <w:t>Counseling. People with unmarried partners, stepchildren, or estranged relatives are among those least served by intestacy and least likely to have wills, which makes their estate planning especially important.</w:t>
      </w:r>
    </w:p>
    <w:p>
      <w:pPr>
        <w:pStyle w:val="Heading2"/>
        <w:spacing w:after="120" w:before="240"/>
      </w:pPr>
      <w:r>
        <w:rPr>
          <w:b/>
          <w:bCs/>
        </w:rPr>
        <w:t>Developments to Know</w:t>
      </w:r>
    </w:p>
    <w:p>
      <w:pPr>
        <w:pStyle w:val="ListParagraph"/>
        <w:numPr>
          <w:ilvl w:val="0"/>
          <w:numId w:val="1"/>
        </w:numPr>
        <w:spacing w:after="80"/>
      </w:pPr>
      <w:r>
        <w:t>Publication. The two Listokin and Morley papers, Part 1 on spouses and partners and Part 2 on children and other beneficiaries, are available on SSRN (abstract ids 4332171 and 4332182).</w:t>
      </w:r>
    </w:p>
    <w:p>
      <w:pPr>
        <w:pStyle w:val="ListParagraph"/>
        <w:numPr>
          <w:ilvl w:val="0"/>
          <w:numId w:val="1"/>
        </w:numPr>
        <w:spacing w:after="80"/>
      </w:pPr>
      <w:r>
        <w:t>Will ownership. Caring.com's 2025 Wills and Estate Planning Survey found that 24% of American adults have a will, down from 33% in 2022.</w:t>
      </w:r>
    </w:p>
    <w:p>
      <w:pPr>
        <w:pStyle w:val="ListParagraph"/>
        <w:numPr>
          <w:ilvl w:val="0"/>
          <w:numId w:val="1"/>
        </w:numPr>
        <w:spacing w:after="80"/>
      </w:pPr>
      <w:r>
        <w:t>Electronic wills. A growing number of states authorize electronic wills, many based on the Uniform Electronic Wills Act. New York enacted an electronic wills law in December 2025 that takes effect in December 2027 and requires electronic wills to be filed with the court system within 30 days of execution.</w:t>
      </w:r>
    </w:p>
    <w:p>
      <w:pPr>
        <w:pStyle w:val="ListParagraph"/>
        <w:numPr>
          <w:ilvl w:val="0"/>
          <w:numId w:val="1"/>
        </w:numPr>
        <w:spacing w:after="80"/>
      </w:pPr>
      <w:r>
        <w:t>Federal transfer taxes. Legislation signed July 4, 2025 set the federal estate, gift, and generation-skipping transfer tax exemption at $15 million per person beginning January 1, 2026, indexed for inflation and with no scheduled sunset.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TalksOnLaw</dc:creator>
  <cp:lastModifiedBy>Un-named</cp:lastModifiedBy>
  <cp:revision>1</cp:revision>
  <dcterms:created xsi:type="dcterms:W3CDTF">2026-09-28T18:13:13.289Z</dcterms:created>
  <dcterms:modified xsi:type="dcterms:W3CDTF">2026-09-28T18:13:13.289Z</dcterms:modified>
  <dc:title>WV v. EPA and the Major Questions Doctrine</dc:title>
</cp:coreProperties>
</file>

<file path=docProps/custom.xml><?xml version="1.0" encoding="utf-8"?>
<Properties xmlns="http://schemas.openxmlformats.org/officeDocument/2006/custom-properties" xmlns:vt="http://schemas.openxmlformats.org/officeDocument/2006/docPropsVTypes"/>
</file>