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bCs w:val="1"/>
          <w:sz w:val="24"/>
          <w:szCs w:val="24"/>
          <w:rtl w:val="0"/>
        </w:rPr>
        <w:t xml:space="preserve">Continuing Legal Education Written Materials</w:t>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b w:val="1"/>
          <w:bCs w:val="1"/>
          <w:sz w:val="24"/>
          <w:szCs w:val="24"/>
          <w:rtl w:val="0"/>
        </w:rPr>
        <w:t xml:space="preserve">Opioid Bankruptcy</w:t>
      </w: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Based on a TalksOnLaw interview with Professor Edward Morrison from Columbia Law School</w:t>
      </w:r>
    </w:p>
    <w:p w:rsidR="00000000" w:rsidDel="00000000" w:rsidP="00000000" w:rsidRDefault="00000000" w:rsidRPr="00000000" w14:paraId="00000004">
      <w:pPr>
        <w:rPr>
          <w:i w:val="1"/>
          <w:iCs w:val="1"/>
          <w:sz w:val="24"/>
          <w:szCs w:val="24"/>
        </w:rPr>
      </w:pPr>
      <w:r w:rsidDel="00000000" w:rsidR="00000000" w:rsidRPr="00000000">
        <w:rPr>
          <w:i w:val="1"/>
          <w:iCs w:val="1"/>
          <w:sz w:val="24"/>
          <w:szCs w:val="24"/>
          <w:rtl w:val="0"/>
        </w:rPr>
        <w:t xml:space="preserve">These written materials are designed to stand alone as an instructional tool. They track and elaborate on the topics discussed in the interview, provide definitions and practical checklists, and include additional reference material attorneys can use after the course. They are intended to reduce the need for participants to take notes during the program and to serve as a post-course reference.</w:t>
      </w:r>
    </w:p>
    <w:p w:rsidR="00000000" w:rsidDel="00000000" w:rsidP="00000000" w:rsidRDefault="00000000" w:rsidRPr="00000000" w14:paraId="00000005">
      <w:pPr>
        <w:rPr>
          <w:sz w:val="24"/>
          <w:szCs w:val="24"/>
        </w:rPr>
      </w:pPr>
      <w:r w:rsidDel="00000000" w:rsidR="00000000" w:rsidRPr="00000000">
        <w:rPr>
          <w:i w:val="1"/>
          <w:iCs w:val="1"/>
          <w:sz w:val="24"/>
          <w:szCs w:val="24"/>
          <w:rtl w:val="0"/>
        </w:rPr>
        <w:t xml:space="preserve">They are not legal advice. Bankruptcy and mass-tort resolution are fact-specific and jurisdiction-dependent; participants should consult qualified counsel for advice on particular matters.</w:t>
      </w:r>
      <w:r w:rsidDel="00000000" w:rsidR="00000000" w:rsidRPr="00000000">
        <w:rPr>
          <w:rtl w:val="0"/>
        </w:rPr>
      </w:r>
    </w:p>
    <w:p w:rsidR="00000000" w:rsidDel="00000000" w:rsidP="00000000" w:rsidRDefault="00000000" w:rsidRPr="00000000" w14:paraId="00000006">
      <w:pPr>
        <w:pStyle w:val="Heading1"/>
        <w:rPr>
          <w:sz w:val="28"/>
          <w:szCs w:val="28"/>
        </w:rPr>
      </w:pPr>
      <w:r w:rsidDel="00000000" w:rsidR="00000000" w:rsidRPr="00000000">
        <w:rPr>
          <w:sz w:val="28"/>
          <w:szCs w:val="28"/>
          <w:rtl w:val="0"/>
        </w:rPr>
        <w:t xml:space="preserve">1. Executive Summary: What Attorneys Should Take Away</w:t>
      </w:r>
    </w:p>
    <w:p w:rsidR="00000000" w:rsidDel="00000000" w:rsidP="00000000" w:rsidRDefault="00000000" w:rsidRPr="00000000" w14:paraId="00000007">
      <w:pPr>
        <w:spacing w:after="80" w:line="252.00000000000003" w:lineRule="auto"/>
        <w:rPr/>
      </w:pPr>
      <w:r w:rsidDel="00000000" w:rsidR="00000000" w:rsidRPr="00000000">
        <w:rPr>
          <w:rtl w:val="0"/>
        </w:rPr>
        <w:t xml:space="preserve">Opioid bankruptcy litigation sits at the intersection of Chapter 11, mass torts, civil accountability, victim compensation, and institutional limits on bankruptcy courts. The Purdue Pharma case became the leading modern example because the proposed plan attempted to resolve not only claims against the debtor, Purdue, but also many direct claims against non-debtor members of the Sackler family.</w:t>
      </w:r>
    </w:p>
    <w:p w:rsidR="00000000" w:rsidDel="00000000" w:rsidP="00000000" w:rsidRDefault="00000000" w:rsidRPr="00000000" w14:paraId="00000008">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Core issue: whether a Chapter 11 plan may extinguish claims held by non-debtors against other non-debtors without the claimants consent.</w:t>
      </w:r>
    </w:p>
    <w:p w:rsidR="00000000" w:rsidDel="00000000" w:rsidP="00000000" w:rsidRDefault="00000000" w:rsidRPr="00000000" w14:paraId="00000009">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Practical stakes: a non-consensual third-party release can make a global settlement possible, but it also can deprive claimants of litigation rights against parties who did not file bankruptcy.</w:t>
      </w:r>
    </w:p>
    <w:p w:rsidR="00000000" w:rsidDel="00000000" w:rsidP="00000000" w:rsidRDefault="00000000" w:rsidRPr="00000000" w14:paraId="0000000A">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Current rule after Harrington v. Purdue Pharma: the Supreme Court held that the Bankruptcy Code does not authorize a Chapter 11 plan that releases and enjoins claims against non-debtors without affected claimants consent.</w:t>
      </w:r>
    </w:p>
    <w:p w:rsidR="00000000" w:rsidDel="00000000" w:rsidP="00000000" w:rsidRDefault="00000000" w:rsidRPr="00000000" w14:paraId="0000000B">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Practice implication: parties must pay much closer attention to consent design, notice, disclosure, plan language, and alternatives to global non-debtor releases.</w:t>
      </w:r>
    </w:p>
    <w:p w:rsidR="00000000" w:rsidDel="00000000" w:rsidP="00000000" w:rsidRDefault="00000000" w:rsidRPr="00000000" w14:paraId="0000000C">
      <w:pPr>
        <w:pStyle w:val="Heading3"/>
        <w:spacing w:after="60" w:before="60" w:line="252.00000000000003" w:lineRule="auto"/>
        <w:rPr>
          <w:sz w:val="25"/>
          <w:szCs w:val="25"/>
        </w:rPr>
      </w:pPr>
      <w:bookmarkStart w:colFirst="0" w:colLast="0" w:name="_heading=h.yrct6ld9cblo" w:id="0"/>
      <w:bookmarkEnd w:id="0"/>
      <w:r w:rsidDel="00000000" w:rsidR="00000000" w:rsidRPr="00000000">
        <w:rPr>
          <w:sz w:val="25"/>
          <w:szCs w:val="25"/>
          <w:rtl w:val="0"/>
        </w:rPr>
        <w:t xml:space="preserve">1.1 Learning Objectives</w:t>
      </w:r>
    </w:p>
    <w:p w:rsidR="00000000" w:rsidDel="00000000" w:rsidP="00000000" w:rsidRDefault="00000000" w:rsidRPr="00000000" w14:paraId="0000000D">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Define the key bankruptcy terms relevant to mass-tort settlements: automatic stay, estate, plan confirmation, discharge, release, injunction, and creditor voting.</w:t>
      </w:r>
    </w:p>
    <w:p w:rsidR="00000000" w:rsidDel="00000000" w:rsidP="00000000" w:rsidRDefault="00000000" w:rsidRPr="00000000" w14:paraId="0000000E">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Distinguish debtor discharge, consensual third-party releases, non-consensual third-party releases, exculpation clauses, and channeling injunctions.</w:t>
      </w:r>
    </w:p>
    <w:p w:rsidR="00000000" w:rsidDel="00000000" w:rsidP="00000000" w:rsidRDefault="00000000" w:rsidRPr="00000000" w14:paraId="0000000F">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Explain the statutory debate under 11 U.S.C. §§ 105(a), 524(e), 524(g), 1123(b)(6), and 1129.</w:t>
      </w:r>
    </w:p>
    <w:p w:rsidR="00000000" w:rsidDel="00000000" w:rsidP="00000000" w:rsidRDefault="00000000" w:rsidRPr="00000000" w14:paraId="00000010">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Evaluate why parties used Chapter 11 in opioid litigation and why non-debtor releases became so contested.</w:t>
      </w:r>
    </w:p>
    <w:p w:rsidR="00000000" w:rsidDel="00000000" w:rsidP="00000000" w:rsidRDefault="00000000" w:rsidRPr="00000000" w14:paraId="00000011">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Apply post-Harrington principles to plan drafting, claimant counseling, and non-debtor settlement strategy.</w:t>
      </w:r>
    </w:p>
    <w:p w:rsidR="00000000" w:rsidDel="00000000" w:rsidP="00000000" w:rsidRDefault="00000000" w:rsidRPr="00000000" w14:paraId="00000012">
      <w:pPr>
        <w:pStyle w:val="Heading1"/>
        <w:rPr>
          <w:sz w:val="28"/>
          <w:szCs w:val="28"/>
        </w:rPr>
      </w:pPr>
      <w:r w:rsidDel="00000000" w:rsidR="00000000" w:rsidRPr="00000000">
        <w:rPr>
          <w:sz w:val="28"/>
          <w:szCs w:val="28"/>
          <w:rtl w:val="0"/>
        </w:rPr>
        <w:t xml:space="preserve">2. Case Study Background: Purdue Pharma, the Opioid Crisis, and the Sackler Settlement</w:t>
      </w:r>
    </w:p>
    <w:p w:rsidR="00000000" w:rsidDel="00000000" w:rsidP="00000000" w:rsidRDefault="00000000" w:rsidRPr="00000000" w14:paraId="00000013">
      <w:pPr>
        <w:spacing w:after="80" w:line="252.00000000000003" w:lineRule="auto"/>
        <w:rPr/>
      </w:pPr>
      <w:r w:rsidDel="00000000" w:rsidR="00000000" w:rsidRPr="00000000">
        <w:rPr>
          <w:rtl w:val="0"/>
        </w:rPr>
        <w:t xml:space="preserve">Purdue Pharma, the maker of OxyContin, faced extensive civil claims and governmental enforcement connected to the opioid crisis. The Sackler family controlled Purdue and also faced separate allegations and lawsuits. Purdue filed Chapter 11 to centralize claims and pursue a court-supervised settlement structure.</w:t>
      </w:r>
    </w:p>
    <w:p w:rsidR="00000000" w:rsidDel="00000000" w:rsidP="00000000" w:rsidRDefault="00000000" w:rsidRPr="00000000" w14:paraId="00000014">
      <w:pPr>
        <w:spacing w:after="80" w:line="252.00000000000003" w:lineRule="auto"/>
        <w:rPr/>
      </w:pPr>
      <w:r w:rsidDel="00000000" w:rsidR="00000000" w:rsidRPr="00000000">
        <w:rPr>
          <w:rtl w:val="0"/>
        </w:rPr>
        <w:t xml:space="preserve">The proposed plan sought to channel recoveries through bankruptcy mechanisms while granting the Sacklers broad releases in exchange for a substantial cash contribution. This structure produced the central fairness tension: many claimants and governments wanted faster collective recovery, while others objected that the Sacklers were receiving bankruptcy-like protection without themselves becoming debtors and submitting their assets to bankruptcy oversight.</w:t>
      </w:r>
    </w:p>
    <w:p w:rsidR="00000000" w:rsidDel="00000000" w:rsidP="00000000" w:rsidRDefault="00000000" w:rsidRPr="00000000" w14:paraId="00000015">
      <w:pPr>
        <w:spacing w:after="80" w:line="252.00000000000003" w:lineRule="auto"/>
        <w:rPr/>
      </w:pPr>
      <w:r w:rsidDel="00000000" w:rsidR="00000000" w:rsidRPr="00000000">
        <w:rPr>
          <w:rtl w:val="0"/>
        </w:rPr>
        <w:t xml:space="preserve">Recent update: after the Supreme Court rejected the earlier non-consensual release structure, Purdue ultimately moved toward a revised settlement framework. As of late April 2026, reports indicate the company is being dissolved and replaced by a new public-benefit successor structure as part of a bankruptcy settlement, with Sackler contributions and victim compensation continuing to generate debate. Practitioners should treat current plan terms as case-specific and verify the latest docket before relying on them.</w:t>
      </w:r>
    </w:p>
    <w:p w:rsidR="00000000" w:rsidDel="00000000" w:rsidP="00000000" w:rsidRDefault="00000000" w:rsidRPr="00000000" w14:paraId="00000016">
      <w:pPr>
        <w:pStyle w:val="Heading1"/>
        <w:rPr>
          <w:sz w:val="28"/>
          <w:szCs w:val="28"/>
        </w:rPr>
      </w:pPr>
      <w:r w:rsidDel="00000000" w:rsidR="00000000" w:rsidRPr="00000000">
        <w:rPr>
          <w:sz w:val="28"/>
          <w:szCs w:val="28"/>
          <w:rtl w:val="0"/>
        </w:rPr>
        <w:t xml:space="preserve">3. Chapter 11 Basics for Mass-Tort Lawyers</w:t>
      </w:r>
    </w:p>
    <w:p w:rsidR="00000000" w:rsidDel="00000000" w:rsidP="00000000" w:rsidRDefault="00000000" w:rsidRPr="00000000" w14:paraId="00000017">
      <w:pPr>
        <w:spacing w:after="80" w:line="252.00000000000003" w:lineRule="auto"/>
        <w:rPr/>
      </w:pPr>
      <w:r w:rsidDel="00000000" w:rsidR="00000000" w:rsidRPr="00000000">
        <w:rPr>
          <w:rtl w:val="0"/>
        </w:rPr>
        <w:t xml:space="preserve">Chapter 11 is not merely a liquidation or restructuring statute. In mass-tort cases, it may function as an aggregation device. It can centralize claims, stop a race to assets, create a plan for distributions, and bind dissenting creditors if the requirements of the Bankruptcy Code are satisfied.</w:t>
      </w:r>
    </w:p>
    <w:p w:rsidR="00000000" w:rsidDel="00000000" w:rsidP="00000000" w:rsidRDefault="00000000" w:rsidRPr="00000000" w14:paraId="00000018">
      <w:pPr>
        <w:spacing w:after="80" w:line="252.00000000000003" w:lineRule="auto"/>
        <w:rPr/>
      </w:pPr>
      <w:r w:rsidDel="00000000" w:rsidR="00000000" w:rsidRPr="00000000">
        <w:rPr>
          <w:rtl w:val="0"/>
        </w:rPr>
        <w:t xml:space="preserve">Automatic stay. Section 362 generally stays litigation and collection activity against the debtor upon filing. The stay gives the debtor breathing room, protects estate assets, and prevents early-moving claimants from obtaining disproportionate recoveries. The stay does not automatically protect non-debtors, though courts sometimes consider stay extensions or injunctions in unusual circumstances where litigation against non-debtors would directly affect the estate.</w:t>
      </w:r>
    </w:p>
    <w:p w:rsidR="00000000" w:rsidDel="00000000" w:rsidP="00000000" w:rsidRDefault="00000000" w:rsidRPr="00000000" w14:paraId="00000019">
      <w:pPr>
        <w:spacing w:after="80" w:line="252.00000000000003" w:lineRule="auto"/>
        <w:rPr/>
      </w:pPr>
      <w:r w:rsidDel="00000000" w:rsidR="00000000" w:rsidRPr="00000000">
        <w:rPr>
          <w:rtl w:val="0"/>
        </w:rPr>
        <w:t xml:space="preserve">Estate and claims process. The filing creates a bankruptcy estate. Tort claimants become creditors, and their claims may be valued, classified, objected to, settled, or paid through a plan or trust process. This can be efficient, but it can also flatten individualized litigation rights into an administrative distribution system.</w:t>
      </w:r>
    </w:p>
    <w:p w:rsidR="00000000" w:rsidDel="00000000" w:rsidP="00000000" w:rsidRDefault="00000000" w:rsidRPr="00000000" w14:paraId="0000001A">
      <w:pPr>
        <w:spacing w:after="80" w:line="252.00000000000003" w:lineRule="auto"/>
        <w:rPr/>
      </w:pPr>
      <w:r w:rsidDel="00000000" w:rsidR="00000000" w:rsidRPr="00000000">
        <w:rPr>
          <w:rtl w:val="0"/>
        </w:rPr>
        <w:t xml:space="preserve">Plan confirmation. A Chapter 11 plan sets out how value will be distributed. Creditors vote by class, and a confirmed plan may bind dissenting creditors if statutory conditions are met. This is why bankruptcy can be more binding than multidistrict litigation: MDL can coordinate litigation, but it usually cannot itself impose a mandatory global settlement on objecting parties.</w:t>
      </w:r>
    </w:p>
    <w:p w:rsidR="00000000" w:rsidDel="00000000" w:rsidP="00000000" w:rsidRDefault="00000000" w:rsidRPr="00000000" w14:paraId="0000001B">
      <w:pPr>
        <w:pStyle w:val="Heading1"/>
        <w:rPr>
          <w:sz w:val="28"/>
          <w:szCs w:val="28"/>
        </w:rPr>
      </w:pPr>
      <w:r w:rsidDel="00000000" w:rsidR="00000000" w:rsidRPr="00000000">
        <w:rPr>
          <w:sz w:val="28"/>
          <w:szCs w:val="28"/>
          <w:rtl w:val="0"/>
        </w:rPr>
        <w:t xml:space="preserve">4. Third-Party Releases: Definitions and Core Distinctions</w:t>
      </w:r>
    </w:p>
    <w:p w:rsidR="00000000" w:rsidDel="00000000" w:rsidP="00000000" w:rsidRDefault="00000000" w:rsidRPr="00000000" w14:paraId="0000001C">
      <w:pPr>
        <w:spacing w:after="80" w:line="252.00000000000003" w:lineRule="auto"/>
        <w:rPr/>
      </w:pPr>
      <w:r w:rsidDel="00000000" w:rsidR="00000000" w:rsidRPr="00000000">
        <w:rPr>
          <w:rtl w:val="0"/>
        </w:rPr>
        <w:t xml:space="preserve">A third-party release generally refers to a plan provision that releases claims held by creditors or other parties against non-debtors, often accompanied by an injunction that prevents later litigation. The controversy is greatest when the release is non-consensual.</w:t>
      </w:r>
    </w:p>
    <w:tbl>
      <w:tblPr>
        <w:tblStyle w:val="Table1"/>
        <w:tblW w:w="99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1"/>
        <w:gridCol w:w="3331"/>
        <w:gridCol w:w="3331"/>
        <w:tblGridChange w:id="0">
          <w:tblGrid>
            <w:gridCol w:w="3331"/>
            <w:gridCol w:w="3331"/>
            <w:gridCol w:w="3331"/>
          </w:tblGrid>
        </w:tblGridChange>
      </w:tblGrid>
      <w:tr>
        <w:trPr>
          <w:cantSplit w:val="0"/>
          <w:tblHeader w:val="0"/>
        </w:trPr>
        <w:tc>
          <w:tcPr>
            <w:shd w:fill="d9eaf7" w:val="clear"/>
            <w:vAlign w:val="center"/>
          </w:tcPr>
          <w:p w:rsidR="00000000" w:rsidDel="00000000" w:rsidP="00000000" w:rsidRDefault="00000000" w:rsidRPr="00000000" w14:paraId="0000001D">
            <w:pPr>
              <w:rPr/>
            </w:pPr>
            <w:r w:rsidDel="00000000" w:rsidR="00000000" w:rsidRPr="00000000">
              <w:rPr>
                <w:b w:val="1"/>
                <w:bCs w:val="1"/>
                <w:rtl w:val="0"/>
              </w:rPr>
              <w:t xml:space="preserve">Concept</w:t>
            </w:r>
            <w:r w:rsidDel="00000000" w:rsidR="00000000" w:rsidRPr="00000000">
              <w:rPr>
                <w:rtl w:val="0"/>
              </w:rPr>
            </w:r>
          </w:p>
        </w:tc>
        <w:tc>
          <w:tcPr>
            <w:shd w:fill="d9eaf7" w:val="clear"/>
            <w:vAlign w:val="center"/>
          </w:tcPr>
          <w:p w:rsidR="00000000" w:rsidDel="00000000" w:rsidP="00000000" w:rsidRDefault="00000000" w:rsidRPr="00000000" w14:paraId="0000001E">
            <w:pPr>
              <w:rPr/>
            </w:pPr>
            <w:r w:rsidDel="00000000" w:rsidR="00000000" w:rsidRPr="00000000">
              <w:rPr>
                <w:b w:val="1"/>
                <w:bCs w:val="1"/>
                <w:rtl w:val="0"/>
              </w:rPr>
              <w:t xml:space="preserve">Meaning</w:t>
            </w:r>
            <w:r w:rsidDel="00000000" w:rsidR="00000000" w:rsidRPr="00000000">
              <w:rPr>
                <w:rtl w:val="0"/>
              </w:rPr>
            </w:r>
          </w:p>
        </w:tc>
        <w:tc>
          <w:tcPr>
            <w:shd w:fill="d9eaf7" w:val="clear"/>
            <w:vAlign w:val="center"/>
          </w:tcPr>
          <w:p w:rsidR="00000000" w:rsidDel="00000000" w:rsidP="00000000" w:rsidRDefault="00000000" w:rsidRPr="00000000" w14:paraId="0000001F">
            <w:pPr>
              <w:rPr/>
            </w:pPr>
            <w:r w:rsidDel="00000000" w:rsidR="00000000" w:rsidRPr="00000000">
              <w:rPr>
                <w:b w:val="1"/>
                <w:bCs w:val="1"/>
                <w:rtl w:val="0"/>
              </w:rPr>
              <w:t xml:space="preserve">Why It Matters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rPr/>
            </w:pPr>
            <w:r w:rsidDel="00000000" w:rsidR="00000000" w:rsidRPr="00000000">
              <w:rPr>
                <w:rtl w:val="0"/>
              </w:rPr>
              <w:t xml:space="preserve">Debtor discharge</w:t>
            </w:r>
          </w:p>
        </w:tc>
        <w:tc>
          <w:tcPr>
            <w:vAlign w:val="top"/>
          </w:tcPr>
          <w:p w:rsidR="00000000" w:rsidDel="00000000" w:rsidP="00000000" w:rsidRDefault="00000000" w:rsidRPr="00000000" w14:paraId="00000021">
            <w:pPr>
              <w:rPr/>
            </w:pPr>
            <w:r w:rsidDel="00000000" w:rsidR="00000000" w:rsidRPr="00000000">
              <w:rPr>
                <w:rtl w:val="0"/>
              </w:rPr>
              <w:t xml:space="preserve">The debtor receives protection from prepetition claims after confirmation, subject to statutory limits.</w:t>
            </w:r>
          </w:p>
        </w:tc>
        <w:tc>
          <w:tcPr>
            <w:vAlign w:val="top"/>
          </w:tcPr>
          <w:p w:rsidR="00000000" w:rsidDel="00000000" w:rsidP="00000000" w:rsidRDefault="00000000" w:rsidRPr="00000000" w14:paraId="00000022">
            <w:pPr>
              <w:rPr/>
            </w:pPr>
            <w:r w:rsidDel="00000000" w:rsidR="00000000" w:rsidRPr="00000000">
              <w:rPr>
                <w:rtl w:val="0"/>
              </w:rPr>
              <w:t xml:space="preserve">This is a central bankruptcy benefit granted to the debtor that submits to bankruptcy jurisdiction.</w:t>
            </w:r>
          </w:p>
        </w:tc>
      </w:tr>
      <w:tr>
        <w:trPr>
          <w:cantSplit w:val="0"/>
          <w:tblHeader w:val="0"/>
        </w:trPr>
        <w:tc>
          <w:tcPr>
            <w:vAlign w:val="top"/>
          </w:tcPr>
          <w:p w:rsidR="00000000" w:rsidDel="00000000" w:rsidP="00000000" w:rsidRDefault="00000000" w:rsidRPr="00000000" w14:paraId="00000023">
            <w:pPr>
              <w:rPr/>
            </w:pPr>
            <w:r w:rsidDel="00000000" w:rsidR="00000000" w:rsidRPr="00000000">
              <w:rPr>
                <w:rtl w:val="0"/>
              </w:rPr>
              <w:t xml:space="preserve">Consensual third-party release</w:t>
            </w:r>
          </w:p>
        </w:tc>
        <w:tc>
          <w:tcPr>
            <w:vAlign w:val="top"/>
          </w:tcPr>
          <w:p w:rsidR="00000000" w:rsidDel="00000000" w:rsidP="00000000" w:rsidRDefault="00000000" w:rsidRPr="00000000" w14:paraId="00000024">
            <w:pPr>
              <w:rPr/>
            </w:pPr>
            <w:r w:rsidDel="00000000" w:rsidR="00000000" w:rsidRPr="00000000">
              <w:rPr>
                <w:rtl w:val="0"/>
              </w:rPr>
              <w:t xml:space="preserve">A claimant affirmatively agrees to release claims against a non-debtor.</w:t>
            </w:r>
          </w:p>
        </w:tc>
        <w:tc>
          <w:tcPr>
            <w:vAlign w:val="top"/>
          </w:tcPr>
          <w:p w:rsidR="00000000" w:rsidDel="00000000" w:rsidP="00000000" w:rsidRDefault="00000000" w:rsidRPr="00000000" w14:paraId="00000025">
            <w:pPr>
              <w:rPr/>
            </w:pPr>
            <w:r w:rsidDel="00000000" w:rsidR="00000000" w:rsidRPr="00000000">
              <w:rPr>
                <w:rtl w:val="0"/>
              </w:rPr>
              <w:t xml:space="preserve">Usually analyzed as a matter of consent, notice, and contract-like waiver.</w:t>
            </w:r>
          </w:p>
        </w:tc>
      </w:tr>
      <w:tr>
        <w:trPr>
          <w:cantSplit w:val="0"/>
          <w:tblHeader w:val="0"/>
        </w:trPr>
        <w:tc>
          <w:tcPr>
            <w:vAlign w:val="top"/>
          </w:tcPr>
          <w:p w:rsidR="00000000" w:rsidDel="00000000" w:rsidP="00000000" w:rsidRDefault="00000000" w:rsidRPr="00000000" w14:paraId="00000026">
            <w:pPr>
              <w:rPr/>
            </w:pPr>
            <w:r w:rsidDel="00000000" w:rsidR="00000000" w:rsidRPr="00000000">
              <w:rPr>
                <w:rtl w:val="0"/>
              </w:rPr>
              <w:t xml:space="preserve">Non-consensual third-party release</w:t>
            </w:r>
          </w:p>
        </w:tc>
        <w:tc>
          <w:tcPr>
            <w:vAlign w:val="top"/>
          </w:tcPr>
          <w:p w:rsidR="00000000" w:rsidDel="00000000" w:rsidP="00000000" w:rsidRDefault="00000000" w:rsidRPr="00000000" w14:paraId="00000027">
            <w:pPr>
              <w:rPr/>
            </w:pPr>
            <w:r w:rsidDel="00000000" w:rsidR="00000000" w:rsidRPr="00000000">
              <w:rPr>
                <w:rtl w:val="0"/>
              </w:rPr>
              <w:t xml:space="preserve">A plan extinguishes direct claims against a non-debtor even though some affected claimants do not agree.</w:t>
            </w:r>
          </w:p>
        </w:tc>
        <w:tc>
          <w:tcPr>
            <w:vAlign w:val="top"/>
          </w:tcPr>
          <w:p w:rsidR="00000000" w:rsidDel="00000000" w:rsidP="00000000" w:rsidRDefault="00000000" w:rsidRPr="00000000" w14:paraId="00000028">
            <w:pPr>
              <w:rPr/>
            </w:pPr>
            <w:r w:rsidDel="00000000" w:rsidR="00000000" w:rsidRPr="00000000">
              <w:rPr>
                <w:rtl w:val="0"/>
              </w:rPr>
              <w:t xml:space="preserve">This was the key issue in Purdue and is no longer generally authorized after Harrington.</w:t>
            </w:r>
          </w:p>
        </w:tc>
      </w:tr>
      <w:tr>
        <w:trPr>
          <w:cantSplit w:val="0"/>
          <w:tblHeader w:val="0"/>
        </w:trPr>
        <w:tc>
          <w:tcPr>
            <w:vAlign w:val="top"/>
          </w:tcPr>
          <w:p w:rsidR="00000000" w:rsidDel="00000000" w:rsidP="00000000" w:rsidRDefault="00000000" w:rsidRPr="00000000" w14:paraId="00000029">
            <w:pPr>
              <w:rPr/>
            </w:pPr>
            <w:r w:rsidDel="00000000" w:rsidR="00000000" w:rsidRPr="00000000">
              <w:rPr>
                <w:rtl w:val="0"/>
              </w:rPr>
              <w:t xml:space="preserve">Exculpation</w:t>
            </w:r>
          </w:p>
        </w:tc>
        <w:tc>
          <w:tcPr>
            <w:vAlign w:val="top"/>
          </w:tcPr>
          <w:p w:rsidR="00000000" w:rsidDel="00000000" w:rsidP="00000000" w:rsidRDefault="00000000" w:rsidRPr="00000000" w14:paraId="0000002A">
            <w:pPr>
              <w:rPr/>
            </w:pPr>
            <w:r w:rsidDel="00000000" w:rsidR="00000000" w:rsidRPr="00000000">
              <w:rPr>
                <w:rtl w:val="0"/>
              </w:rPr>
              <w:t xml:space="preserve">A narrower protection for estate fiduciaries and participants for conduct during the bankruptcy case, often limited to gross negligence or willful misconduct carveouts.</w:t>
            </w:r>
          </w:p>
        </w:tc>
        <w:tc>
          <w:tcPr>
            <w:vAlign w:val="top"/>
          </w:tcPr>
          <w:p w:rsidR="00000000" w:rsidDel="00000000" w:rsidP="00000000" w:rsidRDefault="00000000" w:rsidRPr="00000000" w14:paraId="0000002B">
            <w:pPr>
              <w:rPr/>
            </w:pPr>
            <w:r w:rsidDel="00000000" w:rsidR="00000000" w:rsidRPr="00000000">
              <w:rPr>
                <w:rtl w:val="0"/>
              </w:rPr>
              <w:t xml:space="preserve">Still relevant after Harrington, but should not be drafted as a disguised broad release.</w:t>
            </w:r>
          </w:p>
        </w:tc>
      </w:tr>
      <w:tr>
        <w:trPr>
          <w:cantSplit w:val="0"/>
          <w:tblHeader w:val="0"/>
        </w:trPr>
        <w:tc>
          <w:tcPr>
            <w:vAlign w:val="top"/>
          </w:tcPr>
          <w:p w:rsidR="00000000" w:rsidDel="00000000" w:rsidP="00000000" w:rsidRDefault="00000000" w:rsidRPr="00000000" w14:paraId="0000002C">
            <w:pPr>
              <w:rPr/>
            </w:pPr>
            <w:r w:rsidDel="00000000" w:rsidR="00000000" w:rsidRPr="00000000">
              <w:rPr>
                <w:rtl w:val="0"/>
              </w:rPr>
              <w:t xml:space="preserve">Channeling injunction</w:t>
            </w:r>
          </w:p>
        </w:tc>
        <w:tc>
          <w:tcPr>
            <w:vAlign w:val="top"/>
          </w:tcPr>
          <w:p w:rsidR="00000000" w:rsidDel="00000000" w:rsidP="00000000" w:rsidRDefault="00000000" w:rsidRPr="00000000" w14:paraId="0000002D">
            <w:pPr>
              <w:rPr/>
            </w:pPr>
            <w:r w:rsidDel="00000000" w:rsidR="00000000" w:rsidRPr="00000000">
              <w:rPr>
                <w:rtl w:val="0"/>
              </w:rPr>
              <w:t xml:space="preserve">An injunction directing claims to a trust or fund rather than continued litigation against certain parties.</w:t>
            </w:r>
          </w:p>
        </w:tc>
        <w:tc>
          <w:tcPr>
            <w:vAlign w:val="top"/>
          </w:tcPr>
          <w:p w:rsidR="00000000" w:rsidDel="00000000" w:rsidP="00000000" w:rsidRDefault="00000000" w:rsidRPr="00000000" w14:paraId="0000002E">
            <w:pPr>
              <w:rPr/>
            </w:pPr>
            <w:r w:rsidDel="00000000" w:rsidR="00000000" w:rsidRPr="00000000">
              <w:rPr>
                <w:rtl w:val="0"/>
              </w:rPr>
              <w:t xml:space="preserve">Expressly authorized in asbestos cases under § 524(g), but not broadly available for all mass torts.</w:t>
            </w:r>
          </w:p>
        </w:tc>
      </w:tr>
    </w:tbl>
    <w:p w:rsidR="00000000" w:rsidDel="00000000" w:rsidP="00000000" w:rsidRDefault="00000000" w:rsidRPr="00000000" w14:paraId="0000002F">
      <w:pPr>
        <w:spacing w:after="80" w:line="252.00000000000003" w:lineRule="auto"/>
        <w:rPr/>
      </w:pPr>
      <w:r w:rsidDel="00000000" w:rsidR="00000000" w:rsidRPr="00000000">
        <w:rPr>
          <w:rtl w:val="0"/>
        </w:rPr>
      </w:r>
    </w:p>
    <w:p w:rsidR="00000000" w:rsidDel="00000000" w:rsidP="00000000" w:rsidRDefault="00000000" w:rsidRPr="00000000" w14:paraId="00000030">
      <w:pPr>
        <w:pStyle w:val="Heading2"/>
        <w:spacing w:after="60" w:before="60" w:line="252.00000000000003" w:lineRule="auto"/>
        <w:rPr>
          <w:sz w:val="25"/>
          <w:szCs w:val="25"/>
        </w:rPr>
      </w:pPr>
      <w:r w:rsidDel="00000000" w:rsidR="00000000" w:rsidRPr="00000000">
        <w:rPr>
          <w:sz w:val="25"/>
          <w:szCs w:val="25"/>
          <w:rtl w:val="0"/>
        </w:rPr>
        <w:t xml:space="preserve">4.1 Why These Releases Appeared in Mass-Tort Bankruptcies</w:t>
      </w:r>
    </w:p>
    <w:p w:rsidR="00000000" w:rsidDel="00000000" w:rsidP="00000000" w:rsidRDefault="00000000" w:rsidRPr="00000000" w14:paraId="00000031">
      <w:pPr>
        <w:spacing w:after="80" w:line="252.00000000000003" w:lineRule="auto"/>
        <w:rPr/>
      </w:pPr>
      <w:r w:rsidDel="00000000" w:rsidR="00000000" w:rsidRPr="00000000">
        <w:rPr>
          <w:rtl w:val="0"/>
        </w:rPr>
        <w:t xml:space="preserve">Supporters of third-party releases argued that they made global settlements possible. A non-debtor might contribute money to a settlement trust only if it receives peace from future lawsuits. In a large mass-tort case, that contribution can materially increase the pool available to claimants and avoid years of duplicative litigation.</w:t>
      </w:r>
    </w:p>
    <w:p w:rsidR="00000000" w:rsidDel="00000000" w:rsidP="00000000" w:rsidRDefault="00000000" w:rsidRPr="00000000" w14:paraId="00000032">
      <w:pPr>
        <w:spacing w:after="80" w:line="252.00000000000003" w:lineRule="auto"/>
        <w:rPr/>
      </w:pPr>
      <w:r w:rsidDel="00000000" w:rsidR="00000000" w:rsidRPr="00000000">
        <w:rPr>
          <w:rtl w:val="0"/>
        </w:rPr>
        <w:t xml:space="preserve">Opponents argued that non-consensual releases alter substantive rights without consent. A tort claimant with a direct claim against an owner, officer, affiliate, or insurer may lose the right to discovery, trial, punitive damages, or individual recovery in exchange for a trust distribution. The released party receives protection similar to a discharge without filing bankruptcy, disclosing assets as a debtor, or subjecting itself to the Code’s debtor-specific burdens.</w:t>
      </w:r>
    </w:p>
    <w:p w:rsidR="00000000" w:rsidDel="00000000" w:rsidP="00000000" w:rsidRDefault="00000000" w:rsidRPr="00000000" w14:paraId="00000033">
      <w:pPr>
        <w:pStyle w:val="Heading1"/>
        <w:spacing w:after="60" w:before="140" w:line="252.00000000000003" w:lineRule="auto"/>
        <w:rPr>
          <w:sz w:val="28"/>
          <w:szCs w:val="28"/>
        </w:rPr>
      </w:pPr>
      <w:r w:rsidDel="00000000" w:rsidR="00000000" w:rsidRPr="00000000">
        <w:rPr>
          <w:sz w:val="28"/>
          <w:szCs w:val="28"/>
          <w:rtl w:val="0"/>
        </w:rPr>
        <w:t xml:space="preserve">5. Statutory Framework and Legal Controversy</w:t>
      </w:r>
    </w:p>
    <w:p w:rsidR="00000000" w:rsidDel="00000000" w:rsidP="00000000" w:rsidRDefault="00000000" w:rsidRPr="00000000" w14:paraId="00000034">
      <w:pPr>
        <w:spacing w:after="80" w:line="252.00000000000003" w:lineRule="auto"/>
        <w:rPr/>
      </w:pPr>
      <w:r w:rsidDel="00000000" w:rsidR="00000000" w:rsidRPr="00000000">
        <w:rPr>
          <w:rtl w:val="0"/>
        </w:rPr>
        <w:t xml:space="preserve">The legal debate in Purdue was not simply whether the settlement was desirable. It was whether the Bankruptcy Code authorized the bankruptcy court to approve it over objection. Attorneys should focus on the statutory architecture: bankruptcy courts are courts of limited authority, and equitable concerns do not create power where the Code withholds it.</w:t>
      </w:r>
    </w:p>
    <w:p w:rsidR="00000000" w:rsidDel="00000000" w:rsidP="00000000" w:rsidRDefault="00000000" w:rsidRPr="00000000" w14:paraId="00000035">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11 U.S.C. § 524(e): provides that discharge of a debtor’s debt does not affect the liability of another entity on that debt. Opponents treated this as strong evidence that a debtor’s bankruptcy cannot automatically wipe away claims against non-debtors.</w:t>
      </w:r>
    </w:p>
    <w:p w:rsidR="00000000" w:rsidDel="00000000" w:rsidP="00000000" w:rsidRDefault="00000000" w:rsidRPr="00000000" w14:paraId="00000036">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11 U.S.C. § 105(a): permits bankruptcy courts to issue orders necessary or appropriate to carry out the Code. Courts historically invoked this provision to support flexible remedies, but § 105(a) cannot be used to create substantive rights inconsistent with the Code.</w:t>
      </w:r>
    </w:p>
    <w:p w:rsidR="00000000" w:rsidDel="00000000" w:rsidP="00000000" w:rsidRDefault="00000000" w:rsidRPr="00000000" w14:paraId="00000037">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11 U.S.C. § 1123(b)(6): allows a plan to include “any other appropriate provision” not inconsistent with the Code. The Supreme Court rejected the argument that this catchall authorized broad non-consensual non-debtor releases.</w:t>
      </w:r>
    </w:p>
    <w:p w:rsidR="00000000" w:rsidDel="00000000" w:rsidP="00000000" w:rsidRDefault="00000000" w:rsidRPr="00000000" w14:paraId="00000038">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11 U.S.C. § 524(g): expressly authorizes asbestos channeling injunctions under detailed statutory conditions. Its specificity mattered because Congress knew how to authorize non-debtor protections when it wanted to do so.</w:t>
      </w:r>
    </w:p>
    <w:p w:rsidR="00000000" w:rsidDel="00000000" w:rsidP="00000000" w:rsidRDefault="00000000" w:rsidRPr="00000000" w14:paraId="00000039">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11 U.S.C. § 1129: sets confirmation requirements. Even a plan with overwhelming creditor support must comply with the Code.</w:t>
      </w:r>
    </w:p>
    <w:p w:rsidR="00000000" w:rsidDel="00000000" w:rsidP="00000000" w:rsidRDefault="00000000" w:rsidRPr="00000000" w14:paraId="0000003A">
      <w:pPr>
        <w:pStyle w:val="Heading2"/>
        <w:spacing w:after="60" w:before="60" w:line="252.00000000000003" w:lineRule="auto"/>
        <w:rPr>
          <w:sz w:val="25"/>
          <w:szCs w:val="25"/>
        </w:rPr>
      </w:pPr>
      <w:r w:rsidDel="00000000" w:rsidR="00000000" w:rsidRPr="00000000">
        <w:rPr>
          <w:sz w:val="25"/>
          <w:szCs w:val="25"/>
          <w:rtl w:val="0"/>
        </w:rPr>
        <w:t xml:space="preserve">5.1 Pre-Harrington Circuit Split</w:t>
      </w:r>
    </w:p>
    <w:p w:rsidR="00000000" w:rsidDel="00000000" w:rsidP="00000000" w:rsidRDefault="00000000" w:rsidRPr="00000000" w14:paraId="0000003B">
      <w:pPr>
        <w:spacing w:after="80" w:line="252.00000000000003" w:lineRule="auto"/>
        <w:rPr/>
      </w:pPr>
      <w:r w:rsidDel="00000000" w:rsidR="00000000" w:rsidRPr="00000000">
        <w:rPr>
          <w:rtl w:val="0"/>
        </w:rPr>
        <w:t xml:space="preserve">Before the Supreme Court decided Harrington, federal courts were divided. Some circuits permitted non-consensual third-party releases in rare or extraordinary cases; others rejected them or treated them with deep skepticism. This created forum-shopping incentives and made venue strategy important in mass-tort bankruptcies.</w:t>
      </w:r>
    </w:p>
    <w:tbl>
      <w:tblPr>
        <w:tblStyle w:val="Table2"/>
        <w:tblW w:w="99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1"/>
        <w:gridCol w:w="3331"/>
        <w:gridCol w:w="3331"/>
        <w:tblGridChange w:id="0">
          <w:tblGrid>
            <w:gridCol w:w="3331"/>
            <w:gridCol w:w="3331"/>
            <w:gridCol w:w="3331"/>
          </w:tblGrid>
        </w:tblGridChange>
      </w:tblGrid>
      <w:tr>
        <w:trPr>
          <w:cantSplit w:val="0"/>
          <w:tblHeader w:val="0"/>
        </w:trPr>
        <w:tc>
          <w:tcPr>
            <w:shd w:fill="d9eaf7" w:val="clear"/>
            <w:vAlign w:val="center"/>
          </w:tcPr>
          <w:p w:rsidR="00000000" w:rsidDel="00000000" w:rsidP="00000000" w:rsidRDefault="00000000" w:rsidRPr="00000000" w14:paraId="0000003C">
            <w:pPr>
              <w:rPr/>
            </w:pPr>
            <w:r w:rsidDel="00000000" w:rsidR="00000000" w:rsidRPr="00000000">
              <w:rPr>
                <w:b w:val="1"/>
                <w:bCs w:val="1"/>
                <w:rtl w:val="0"/>
              </w:rPr>
              <w:t xml:space="preserve">Circuit / Court</w:t>
            </w:r>
            <w:r w:rsidDel="00000000" w:rsidR="00000000" w:rsidRPr="00000000">
              <w:rPr>
                <w:rtl w:val="0"/>
              </w:rPr>
            </w:r>
          </w:p>
        </w:tc>
        <w:tc>
          <w:tcPr>
            <w:shd w:fill="d9eaf7" w:val="clear"/>
            <w:vAlign w:val="center"/>
          </w:tcPr>
          <w:p w:rsidR="00000000" w:rsidDel="00000000" w:rsidP="00000000" w:rsidRDefault="00000000" w:rsidRPr="00000000" w14:paraId="0000003D">
            <w:pPr>
              <w:rPr/>
            </w:pPr>
            <w:r w:rsidDel="00000000" w:rsidR="00000000" w:rsidRPr="00000000">
              <w:rPr>
                <w:b w:val="1"/>
                <w:bCs w:val="1"/>
                <w:rtl w:val="0"/>
              </w:rPr>
              <w:t xml:space="preserve">General Pre-Harrington Approach</w:t>
            </w:r>
            <w:r w:rsidDel="00000000" w:rsidR="00000000" w:rsidRPr="00000000">
              <w:rPr>
                <w:rtl w:val="0"/>
              </w:rPr>
            </w:r>
          </w:p>
        </w:tc>
        <w:tc>
          <w:tcPr>
            <w:shd w:fill="d9eaf7" w:val="clear"/>
            <w:vAlign w:val="center"/>
          </w:tcPr>
          <w:p w:rsidR="00000000" w:rsidDel="00000000" w:rsidP="00000000" w:rsidRDefault="00000000" w:rsidRPr="00000000" w14:paraId="0000003E">
            <w:pPr>
              <w:rPr/>
            </w:pPr>
            <w:r w:rsidDel="00000000" w:rsidR="00000000" w:rsidRPr="00000000">
              <w:rPr>
                <w:b w:val="1"/>
                <w:bCs w:val="1"/>
                <w:rtl w:val="0"/>
              </w:rPr>
              <w:t xml:space="preserve">Representative Authority / Teaching Point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rPr/>
            </w:pPr>
            <w:r w:rsidDel="00000000" w:rsidR="00000000" w:rsidRPr="00000000">
              <w:rPr>
                <w:rtl w:val="0"/>
              </w:rPr>
              <w:t xml:space="preserve">Second Circuit</w:t>
            </w:r>
          </w:p>
        </w:tc>
        <w:tc>
          <w:tcPr>
            <w:vAlign w:val="top"/>
          </w:tcPr>
          <w:p w:rsidR="00000000" w:rsidDel="00000000" w:rsidP="00000000" w:rsidRDefault="00000000" w:rsidRPr="00000000" w14:paraId="00000040">
            <w:pPr>
              <w:rPr/>
            </w:pPr>
            <w:r w:rsidDel="00000000" w:rsidR="00000000" w:rsidRPr="00000000">
              <w:rPr>
                <w:rtl w:val="0"/>
              </w:rPr>
              <w:t xml:space="preserve">Permitted in rare cases under multi-factor analysis.</w:t>
            </w:r>
          </w:p>
        </w:tc>
        <w:tc>
          <w:tcPr>
            <w:vAlign w:val="top"/>
          </w:tcPr>
          <w:p w:rsidR="00000000" w:rsidDel="00000000" w:rsidP="00000000" w:rsidRDefault="00000000" w:rsidRPr="00000000" w14:paraId="00000041">
            <w:pPr>
              <w:rPr/>
            </w:pPr>
            <w:r w:rsidDel="00000000" w:rsidR="00000000" w:rsidRPr="00000000">
              <w:rPr>
                <w:rtl w:val="0"/>
              </w:rPr>
              <w:t xml:space="preserve">Purdue Pharma illustrated the broadest modern use of the doctrine before reversal.</w:t>
            </w:r>
          </w:p>
        </w:tc>
      </w:tr>
      <w:tr>
        <w:trPr>
          <w:cantSplit w:val="0"/>
          <w:tblHeader w:val="0"/>
        </w:trPr>
        <w:tc>
          <w:tcPr>
            <w:vAlign w:val="top"/>
          </w:tcPr>
          <w:p w:rsidR="00000000" w:rsidDel="00000000" w:rsidP="00000000" w:rsidRDefault="00000000" w:rsidRPr="00000000" w14:paraId="00000042">
            <w:pPr>
              <w:rPr/>
            </w:pPr>
            <w:r w:rsidDel="00000000" w:rsidR="00000000" w:rsidRPr="00000000">
              <w:rPr>
                <w:rtl w:val="0"/>
              </w:rPr>
              <w:t xml:space="preserve">Fourth Circuit</w:t>
            </w:r>
          </w:p>
        </w:tc>
        <w:tc>
          <w:tcPr>
            <w:vAlign w:val="top"/>
          </w:tcPr>
          <w:p w:rsidR="00000000" w:rsidDel="00000000" w:rsidP="00000000" w:rsidRDefault="00000000" w:rsidRPr="00000000" w14:paraId="00000043">
            <w:pPr>
              <w:rPr/>
            </w:pPr>
            <w:r w:rsidDel="00000000" w:rsidR="00000000" w:rsidRPr="00000000">
              <w:rPr>
                <w:rtl w:val="0"/>
              </w:rPr>
              <w:t xml:space="preserve">Permitted in extraordinary circumstances.</w:t>
            </w:r>
          </w:p>
        </w:tc>
        <w:tc>
          <w:tcPr>
            <w:vAlign w:val="top"/>
          </w:tcPr>
          <w:p w:rsidR="00000000" w:rsidDel="00000000" w:rsidP="00000000" w:rsidRDefault="00000000" w:rsidRPr="00000000" w14:paraId="00000044">
            <w:pPr>
              <w:rPr/>
            </w:pPr>
            <w:r w:rsidDel="00000000" w:rsidR="00000000" w:rsidRPr="00000000">
              <w:rPr>
                <w:rtl w:val="0"/>
              </w:rPr>
              <w:t xml:space="preserve">A.H. Robins is often cited in release and injunction debates.</w:t>
            </w:r>
          </w:p>
        </w:tc>
      </w:tr>
      <w:tr>
        <w:trPr>
          <w:cantSplit w:val="0"/>
          <w:tblHeader w:val="0"/>
        </w:trPr>
        <w:tc>
          <w:tcPr>
            <w:vAlign w:val="top"/>
          </w:tcPr>
          <w:p w:rsidR="00000000" w:rsidDel="00000000" w:rsidP="00000000" w:rsidRDefault="00000000" w:rsidRPr="00000000" w14:paraId="00000045">
            <w:pPr>
              <w:rPr/>
            </w:pPr>
            <w:r w:rsidDel="00000000" w:rsidR="00000000" w:rsidRPr="00000000">
              <w:rPr>
                <w:rtl w:val="0"/>
              </w:rPr>
              <w:t xml:space="preserve">Sixth Circuit</w:t>
            </w:r>
          </w:p>
        </w:tc>
        <w:tc>
          <w:tcPr>
            <w:vAlign w:val="top"/>
          </w:tcPr>
          <w:p w:rsidR="00000000" w:rsidDel="00000000" w:rsidP="00000000" w:rsidRDefault="00000000" w:rsidRPr="00000000" w14:paraId="00000046">
            <w:pPr>
              <w:rPr/>
            </w:pPr>
            <w:r w:rsidDel="00000000" w:rsidR="00000000" w:rsidRPr="00000000">
              <w:rPr>
                <w:rtl w:val="0"/>
              </w:rPr>
              <w:t xml:space="preserve">Permitted subject to rigorous factors.</w:t>
            </w:r>
          </w:p>
        </w:tc>
        <w:tc>
          <w:tcPr>
            <w:vAlign w:val="top"/>
          </w:tcPr>
          <w:p w:rsidR="00000000" w:rsidDel="00000000" w:rsidP="00000000" w:rsidRDefault="00000000" w:rsidRPr="00000000" w14:paraId="00000047">
            <w:pPr>
              <w:rPr/>
            </w:pPr>
            <w:r w:rsidDel="00000000" w:rsidR="00000000" w:rsidRPr="00000000">
              <w:rPr>
                <w:rtl w:val="0"/>
              </w:rPr>
              <w:t xml:space="preserve">Dow Corning became an important framework for necessity, contribution, and creditor support.</w:t>
            </w:r>
          </w:p>
        </w:tc>
      </w:tr>
      <w:tr>
        <w:trPr>
          <w:cantSplit w:val="0"/>
          <w:tblHeader w:val="0"/>
        </w:trPr>
        <w:tc>
          <w:tcPr>
            <w:vAlign w:val="top"/>
          </w:tcPr>
          <w:p w:rsidR="00000000" w:rsidDel="00000000" w:rsidP="00000000" w:rsidRDefault="00000000" w:rsidRPr="00000000" w14:paraId="00000048">
            <w:pPr>
              <w:rPr/>
            </w:pPr>
            <w:r w:rsidDel="00000000" w:rsidR="00000000" w:rsidRPr="00000000">
              <w:rPr>
                <w:rtl w:val="0"/>
              </w:rPr>
              <w:t xml:space="preserve">Fifth Circuit</w:t>
            </w:r>
          </w:p>
        </w:tc>
        <w:tc>
          <w:tcPr>
            <w:vAlign w:val="top"/>
          </w:tcPr>
          <w:p w:rsidR="00000000" w:rsidDel="00000000" w:rsidP="00000000" w:rsidRDefault="00000000" w:rsidRPr="00000000" w14:paraId="00000049">
            <w:pPr>
              <w:rPr/>
            </w:pPr>
            <w:r w:rsidDel="00000000" w:rsidR="00000000" w:rsidRPr="00000000">
              <w:rPr>
                <w:rtl w:val="0"/>
              </w:rPr>
              <w:t xml:space="preserve">Generally rejected broad non-consensual releases.</w:t>
            </w:r>
          </w:p>
        </w:tc>
        <w:tc>
          <w:tcPr>
            <w:vAlign w:val="top"/>
          </w:tcPr>
          <w:p w:rsidR="00000000" w:rsidDel="00000000" w:rsidP="00000000" w:rsidRDefault="00000000" w:rsidRPr="00000000" w14:paraId="0000004A">
            <w:pPr>
              <w:rPr/>
            </w:pPr>
            <w:r w:rsidDel="00000000" w:rsidR="00000000" w:rsidRPr="00000000">
              <w:rPr>
                <w:rtl w:val="0"/>
              </w:rPr>
              <w:t xml:space="preserve">Pacific Lumber reflected skepticism that the Code authorized such releases.</w:t>
            </w:r>
          </w:p>
        </w:tc>
      </w:tr>
      <w:tr>
        <w:trPr>
          <w:cantSplit w:val="0"/>
          <w:tblHeader w:val="0"/>
        </w:trPr>
        <w:tc>
          <w:tcPr>
            <w:vAlign w:val="top"/>
          </w:tcPr>
          <w:p w:rsidR="00000000" w:rsidDel="00000000" w:rsidP="00000000" w:rsidRDefault="00000000" w:rsidRPr="00000000" w14:paraId="0000004B">
            <w:pPr>
              <w:rPr/>
            </w:pPr>
            <w:r w:rsidDel="00000000" w:rsidR="00000000" w:rsidRPr="00000000">
              <w:rPr>
                <w:rtl w:val="0"/>
              </w:rPr>
              <w:t xml:space="preserve">Ninth Circuit</w:t>
            </w:r>
          </w:p>
        </w:tc>
        <w:tc>
          <w:tcPr>
            <w:vAlign w:val="top"/>
          </w:tcPr>
          <w:p w:rsidR="00000000" w:rsidDel="00000000" w:rsidP="00000000" w:rsidRDefault="00000000" w:rsidRPr="00000000" w14:paraId="0000004C">
            <w:pPr>
              <w:rPr/>
            </w:pPr>
            <w:r w:rsidDel="00000000" w:rsidR="00000000" w:rsidRPr="00000000">
              <w:rPr>
                <w:rtl w:val="0"/>
              </w:rPr>
              <w:t xml:space="preserve">Skeptical or restrictive depending on posture.</w:t>
            </w:r>
          </w:p>
        </w:tc>
        <w:tc>
          <w:tcPr>
            <w:vAlign w:val="top"/>
          </w:tcPr>
          <w:p w:rsidR="00000000" w:rsidDel="00000000" w:rsidP="00000000" w:rsidRDefault="00000000" w:rsidRPr="00000000" w14:paraId="0000004D">
            <w:pPr>
              <w:rPr/>
            </w:pPr>
            <w:r w:rsidDel="00000000" w:rsidR="00000000" w:rsidRPr="00000000">
              <w:rPr>
                <w:rtl w:val="0"/>
              </w:rPr>
              <w:t xml:space="preserve">Useful comparison for venue and plan-drafting analysis.</w:t>
            </w:r>
          </w:p>
        </w:tc>
      </w:tr>
    </w:tbl>
    <w:p w:rsidR="00000000" w:rsidDel="00000000" w:rsidP="00000000" w:rsidRDefault="00000000" w:rsidRPr="00000000" w14:paraId="0000004E">
      <w:pPr>
        <w:spacing w:after="80" w:line="252.00000000000003" w:lineRule="auto"/>
        <w:rPr/>
      </w:pPr>
      <w:r w:rsidDel="00000000" w:rsidR="00000000" w:rsidRPr="00000000">
        <w:rPr>
          <w:rtl w:val="0"/>
        </w:rPr>
      </w:r>
    </w:p>
    <w:p w:rsidR="00000000" w:rsidDel="00000000" w:rsidP="00000000" w:rsidRDefault="00000000" w:rsidRPr="00000000" w14:paraId="0000004F">
      <w:pPr>
        <w:pStyle w:val="Heading1"/>
        <w:spacing w:after="60" w:before="140" w:line="252.00000000000003" w:lineRule="auto"/>
        <w:rPr>
          <w:sz w:val="28"/>
          <w:szCs w:val="28"/>
        </w:rPr>
      </w:pPr>
      <w:r w:rsidDel="00000000" w:rsidR="00000000" w:rsidRPr="00000000">
        <w:rPr>
          <w:sz w:val="28"/>
          <w:szCs w:val="28"/>
          <w:rtl w:val="0"/>
        </w:rPr>
        <w:t xml:space="preserve">6. Harrington v. Purdue Pharma: The Supreme Court’s Rule</w:t>
      </w:r>
    </w:p>
    <w:p w:rsidR="00000000" w:rsidDel="00000000" w:rsidP="00000000" w:rsidRDefault="00000000" w:rsidRPr="00000000" w14:paraId="00000050">
      <w:pPr>
        <w:spacing w:after="80" w:line="252.00000000000003" w:lineRule="auto"/>
        <w:rPr/>
      </w:pPr>
      <w:r w:rsidDel="00000000" w:rsidR="00000000" w:rsidRPr="00000000">
        <w:rPr>
          <w:rtl w:val="0"/>
        </w:rPr>
        <w:t xml:space="preserve">In Harrington v. Purdue Pharma L.P., decided June 27, 2024, the Supreme Court held that the Bankruptcy Code does not authorize a Chapter 11 plan provision that releases and enjoins claims against non-debtor third parties without the consent of affected claimants.</w:t>
      </w:r>
    </w:p>
    <w:p w:rsidR="00000000" w:rsidDel="00000000" w:rsidP="00000000" w:rsidRDefault="00000000" w:rsidRPr="00000000" w14:paraId="00000051">
      <w:pPr>
        <w:spacing w:after="80" w:line="252.00000000000003" w:lineRule="auto"/>
        <w:rPr/>
      </w:pPr>
      <w:r w:rsidDel="00000000" w:rsidR="00000000" w:rsidRPr="00000000">
        <w:rPr>
          <w:rtl w:val="0"/>
        </w:rPr>
        <w:t xml:space="preserve">The majority’s reasoning was textual. The Court focused on § 1123(b)(6), the catchall plan provision relied on by plan proponents, and concluded that it did not authorize a plan to extinguish direct claims against non-debtors. The Court also treated § 524(g), the asbestos-specific provision, as evidence that Congress can and does speak clearly when it wants to authorize channeling injunctions and non-debtor protections in mass-tort settings.</w:t>
      </w:r>
    </w:p>
    <w:p w:rsidR="00000000" w:rsidDel="00000000" w:rsidP="00000000" w:rsidRDefault="00000000" w:rsidRPr="00000000" w14:paraId="00000052">
      <w:pPr>
        <w:spacing w:after="80" w:line="252.00000000000003" w:lineRule="auto"/>
        <w:rPr/>
      </w:pPr>
      <w:r w:rsidDel="00000000" w:rsidR="00000000" w:rsidRPr="00000000">
        <w:rPr>
          <w:rtl w:val="0"/>
        </w:rPr>
        <w:t xml:space="preserve">The decision does not eliminate all releases from Chapter 11 practice. Consensual releases, ordinary settlements, full-satisfaction arrangements, and appropriately narrow exculpation provisions remain distinct issues. The practical challenge after Harrington is to draft provisions that are genuinely consensual or otherwise independently authorized, rather than trying to obtain global non-debtor peace through a plan over objection.</w:t>
      </w:r>
    </w:p>
    <w:p w:rsidR="00000000" w:rsidDel="00000000" w:rsidP="00000000" w:rsidRDefault="00000000" w:rsidRPr="00000000" w14:paraId="00000053">
      <w:pPr>
        <w:pStyle w:val="Heading2"/>
        <w:spacing w:after="60" w:before="60" w:line="252.00000000000003" w:lineRule="auto"/>
        <w:rPr>
          <w:sz w:val="25"/>
          <w:szCs w:val="25"/>
        </w:rPr>
      </w:pPr>
      <w:r w:rsidDel="00000000" w:rsidR="00000000" w:rsidRPr="00000000">
        <w:rPr>
          <w:sz w:val="25"/>
          <w:szCs w:val="25"/>
          <w:rtl w:val="0"/>
        </w:rPr>
        <w:t xml:space="preserve">6.1 What Harrington Means for Existing Doctrine</w:t>
      </w:r>
    </w:p>
    <w:p w:rsidR="00000000" w:rsidDel="00000000" w:rsidP="00000000" w:rsidRDefault="00000000" w:rsidRPr="00000000" w14:paraId="00000054">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The former multi-factor tests are no longer enough to justify non-consensual non-debtor releases in ordinary Chapter 11 cases.</w:t>
      </w:r>
    </w:p>
    <w:p w:rsidR="00000000" w:rsidDel="00000000" w:rsidP="00000000" w:rsidRDefault="00000000" w:rsidRPr="00000000" w14:paraId="00000055">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Overwhelming creditor support does not substitute for statutory authority or consent by affected claimants.</w:t>
      </w:r>
    </w:p>
    <w:p w:rsidR="00000000" w:rsidDel="00000000" w:rsidP="00000000" w:rsidRDefault="00000000" w:rsidRPr="00000000" w14:paraId="00000056">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A non-debtor contribution may be economically valuable, but value alone does not authorize extinguishing direct claims over objection.</w:t>
      </w:r>
    </w:p>
    <w:p w:rsidR="00000000" w:rsidDel="00000000" w:rsidP="00000000" w:rsidRDefault="00000000" w:rsidRPr="00000000" w14:paraId="00000057">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Plan proponents must distinguish permissible exculpation and consensual release language from prohibited non-consensual discharge-like protection.</w:t>
      </w:r>
    </w:p>
    <w:p w:rsidR="00000000" w:rsidDel="00000000" w:rsidP="00000000" w:rsidRDefault="00000000" w:rsidRPr="00000000" w14:paraId="00000058">
      <w:pPr>
        <w:pStyle w:val="Heading1"/>
        <w:spacing w:after="60" w:before="140" w:line="252.00000000000003" w:lineRule="auto"/>
        <w:rPr>
          <w:sz w:val="28"/>
          <w:szCs w:val="28"/>
        </w:rPr>
      </w:pPr>
      <w:r w:rsidDel="00000000" w:rsidR="00000000" w:rsidRPr="00000000">
        <w:rPr>
          <w:sz w:val="28"/>
          <w:szCs w:val="28"/>
          <w:rtl w:val="0"/>
        </w:rPr>
        <w:t xml:space="preserve">7. Practitioner Playbook: Post-Harrington Strategy</w:t>
      </w:r>
    </w:p>
    <w:p w:rsidR="00000000" w:rsidDel="00000000" w:rsidP="00000000" w:rsidRDefault="00000000" w:rsidRPr="00000000" w14:paraId="00000059">
      <w:pPr>
        <w:spacing w:after="80" w:line="252.00000000000003" w:lineRule="auto"/>
        <w:rPr/>
      </w:pPr>
      <w:r w:rsidDel="00000000" w:rsidR="00000000" w:rsidRPr="00000000">
        <w:rPr>
          <w:rtl w:val="0"/>
        </w:rPr>
        <w:t xml:space="preserve">The most important practice lesson is that attorneys must identify exactly whose claims are being affected, who is being protected, what consent mechanism is being used, and what authority supports the proposed relief.</w:t>
      </w:r>
    </w:p>
    <w:tbl>
      <w:tblPr>
        <w:tblStyle w:val="Table3"/>
        <w:tblW w:w="99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1"/>
        <w:gridCol w:w="3331"/>
        <w:gridCol w:w="3331"/>
        <w:tblGridChange w:id="0">
          <w:tblGrid>
            <w:gridCol w:w="3331"/>
            <w:gridCol w:w="3331"/>
            <w:gridCol w:w="3331"/>
          </w:tblGrid>
        </w:tblGridChange>
      </w:tblGrid>
      <w:tr>
        <w:trPr>
          <w:cantSplit w:val="0"/>
          <w:tblHeader w:val="0"/>
        </w:trPr>
        <w:tc>
          <w:tcPr>
            <w:shd w:fill="d9eaf7" w:val="clear"/>
            <w:vAlign w:val="center"/>
          </w:tcPr>
          <w:p w:rsidR="00000000" w:rsidDel="00000000" w:rsidP="00000000" w:rsidRDefault="00000000" w:rsidRPr="00000000" w14:paraId="0000005A">
            <w:pPr>
              <w:rPr/>
            </w:pPr>
            <w:r w:rsidDel="00000000" w:rsidR="00000000" w:rsidRPr="00000000">
              <w:rPr>
                <w:b w:val="1"/>
                <w:bCs w:val="1"/>
                <w:rtl w:val="0"/>
              </w:rPr>
              <w:t xml:space="preserve">Client Position</w:t>
            </w:r>
            <w:r w:rsidDel="00000000" w:rsidR="00000000" w:rsidRPr="00000000">
              <w:rPr>
                <w:rtl w:val="0"/>
              </w:rPr>
            </w:r>
          </w:p>
        </w:tc>
        <w:tc>
          <w:tcPr>
            <w:shd w:fill="d9eaf7" w:val="clear"/>
            <w:vAlign w:val="center"/>
          </w:tcPr>
          <w:p w:rsidR="00000000" w:rsidDel="00000000" w:rsidP="00000000" w:rsidRDefault="00000000" w:rsidRPr="00000000" w14:paraId="0000005B">
            <w:pPr>
              <w:rPr/>
            </w:pPr>
            <w:r w:rsidDel="00000000" w:rsidR="00000000" w:rsidRPr="00000000">
              <w:rPr>
                <w:b w:val="1"/>
                <w:bCs w:val="1"/>
                <w:rtl w:val="0"/>
              </w:rPr>
              <w:t xml:space="preserve">Key Questions</w:t>
            </w:r>
            <w:r w:rsidDel="00000000" w:rsidR="00000000" w:rsidRPr="00000000">
              <w:rPr>
                <w:rtl w:val="0"/>
              </w:rPr>
            </w:r>
          </w:p>
        </w:tc>
        <w:tc>
          <w:tcPr>
            <w:shd w:fill="d9eaf7" w:val="clear"/>
            <w:vAlign w:val="center"/>
          </w:tcPr>
          <w:p w:rsidR="00000000" w:rsidDel="00000000" w:rsidP="00000000" w:rsidRDefault="00000000" w:rsidRPr="00000000" w14:paraId="0000005C">
            <w:pPr>
              <w:rPr/>
            </w:pPr>
            <w:r w:rsidDel="00000000" w:rsidR="00000000" w:rsidRPr="00000000">
              <w:rPr>
                <w:b w:val="1"/>
                <w:bCs w:val="1"/>
                <w:rtl w:val="0"/>
              </w:rPr>
              <w:t xml:space="preserve">Practical Guidance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rPr/>
            </w:pPr>
            <w:r w:rsidDel="00000000" w:rsidR="00000000" w:rsidRPr="00000000">
              <w:rPr>
                <w:rtl w:val="0"/>
              </w:rPr>
              <w:t xml:space="preserve">Debtor / plan proponent</w:t>
            </w:r>
          </w:p>
        </w:tc>
        <w:tc>
          <w:tcPr>
            <w:vAlign w:val="top"/>
          </w:tcPr>
          <w:p w:rsidR="00000000" w:rsidDel="00000000" w:rsidP="00000000" w:rsidRDefault="00000000" w:rsidRPr="00000000" w14:paraId="0000005E">
            <w:pPr>
              <w:rPr/>
            </w:pPr>
            <w:r w:rsidDel="00000000" w:rsidR="00000000" w:rsidRPr="00000000">
              <w:rPr>
                <w:rtl w:val="0"/>
              </w:rPr>
              <w:t xml:space="preserve">Can the plan obtain real consent? Is the disclosure statement clear? Are releases necessary or merely desirable?</w:t>
            </w:r>
          </w:p>
        </w:tc>
        <w:tc>
          <w:tcPr>
            <w:vAlign w:val="top"/>
          </w:tcPr>
          <w:p w:rsidR="00000000" w:rsidDel="00000000" w:rsidP="00000000" w:rsidRDefault="00000000" w:rsidRPr="00000000" w14:paraId="0000005F">
            <w:pPr>
              <w:rPr/>
            </w:pPr>
            <w:r w:rsidDel="00000000" w:rsidR="00000000" w:rsidRPr="00000000">
              <w:rPr>
                <w:rtl w:val="0"/>
              </w:rPr>
              <w:t xml:space="preserve">Use affirmative consent where possible. Draft notices and ballots so affected parties understand the release. Avoid hiding releases in dense plan language.</w:t>
            </w:r>
          </w:p>
        </w:tc>
      </w:tr>
      <w:tr>
        <w:trPr>
          <w:cantSplit w:val="0"/>
          <w:tblHeader w:val="0"/>
        </w:trPr>
        <w:tc>
          <w:tcPr>
            <w:vAlign w:val="top"/>
          </w:tcPr>
          <w:p w:rsidR="00000000" w:rsidDel="00000000" w:rsidP="00000000" w:rsidRDefault="00000000" w:rsidRPr="00000000" w14:paraId="00000060">
            <w:pPr>
              <w:rPr/>
            </w:pPr>
            <w:r w:rsidDel="00000000" w:rsidR="00000000" w:rsidRPr="00000000">
              <w:rPr>
                <w:rtl w:val="0"/>
              </w:rPr>
              <w:t xml:space="preserve">Claimant counsel</w:t>
            </w:r>
          </w:p>
        </w:tc>
        <w:tc>
          <w:tcPr>
            <w:vAlign w:val="top"/>
          </w:tcPr>
          <w:p w:rsidR="00000000" w:rsidDel="00000000" w:rsidP="00000000" w:rsidRDefault="00000000" w:rsidRPr="00000000" w14:paraId="00000061">
            <w:pPr>
              <w:rPr/>
            </w:pPr>
            <w:r w:rsidDel="00000000" w:rsidR="00000000" w:rsidRPr="00000000">
              <w:rPr>
                <w:rtl w:val="0"/>
              </w:rPr>
              <w:t xml:space="preserve">What rights are surrendered? What is the expected trust recovery? What is the client’s direct litigation upside?</w:t>
            </w:r>
          </w:p>
        </w:tc>
        <w:tc>
          <w:tcPr>
            <w:vAlign w:val="top"/>
          </w:tcPr>
          <w:p w:rsidR="00000000" w:rsidDel="00000000" w:rsidP="00000000" w:rsidRDefault="00000000" w:rsidRPr="00000000" w14:paraId="00000062">
            <w:pPr>
              <w:rPr/>
            </w:pPr>
            <w:r w:rsidDel="00000000" w:rsidR="00000000" w:rsidRPr="00000000">
              <w:rPr>
                <w:rtl w:val="0"/>
              </w:rPr>
              <w:t xml:space="preserve">Compare plan recovery against litigation value, delay, collectability, and proof problems. Preserve objections to overbroad language and inadequate notice.</w:t>
            </w:r>
          </w:p>
        </w:tc>
      </w:tr>
      <w:tr>
        <w:trPr>
          <w:cantSplit w:val="0"/>
          <w:tblHeader w:val="0"/>
        </w:trPr>
        <w:tc>
          <w:tcPr>
            <w:vAlign w:val="top"/>
          </w:tcPr>
          <w:p w:rsidR="00000000" w:rsidDel="00000000" w:rsidP="00000000" w:rsidRDefault="00000000" w:rsidRPr="00000000" w14:paraId="00000063">
            <w:pPr>
              <w:rPr/>
            </w:pPr>
            <w:r w:rsidDel="00000000" w:rsidR="00000000" w:rsidRPr="00000000">
              <w:rPr>
                <w:rtl w:val="0"/>
              </w:rPr>
              <w:t xml:space="preserve">Non-debtor defendant</w:t>
            </w:r>
          </w:p>
        </w:tc>
        <w:tc>
          <w:tcPr>
            <w:vAlign w:val="top"/>
          </w:tcPr>
          <w:p w:rsidR="00000000" w:rsidDel="00000000" w:rsidP="00000000" w:rsidRDefault="00000000" w:rsidRPr="00000000" w14:paraId="00000064">
            <w:pPr>
              <w:rPr/>
            </w:pPr>
            <w:r w:rsidDel="00000000" w:rsidR="00000000" w:rsidRPr="00000000">
              <w:rPr>
                <w:rtl w:val="0"/>
              </w:rPr>
              <w:t xml:space="preserve">Is global peace essential? Would a personal or affiliate bankruptcy filing be necessary? What contribution is justified by exposure?</w:t>
            </w:r>
          </w:p>
        </w:tc>
        <w:tc>
          <w:tcPr>
            <w:vAlign w:val="top"/>
          </w:tcPr>
          <w:p w:rsidR="00000000" w:rsidDel="00000000" w:rsidP="00000000" w:rsidRDefault="00000000" w:rsidRPr="00000000" w14:paraId="00000065">
            <w:pPr>
              <w:rPr/>
            </w:pPr>
            <w:r w:rsidDel="00000000" w:rsidR="00000000" w:rsidRPr="00000000">
              <w:rPr>
                <w:rtl w:val="0"/>
              </w:rPr>
              <w:t xml:space="preserve">Do not assume a debtor’s case can provide a discharge-like shield. Consider settlement, insurance, contribution, or separate restructuring options.</w:t>
            </w:r>
          </w:p>
        </w:tc>
      </w:tr>
      <w:tr>
        <w:trPr>
          <w:cantSplit w:val="0"/>
          <w:tblHeader w:val="0"/>
        </w:trPr>
        <w:tc>
          <w:tcPr>
            <w:vAlign w:val="top"/>
          </w:tcPr>
          <w:p w:rsidR="00000000" w:rsidDel="00000000" w:rsidP="00000000" w:rsidRDefault="00000000" w:rsidRPr="00000000" w14:paraId="00000066">
            <w:pPr>
              <w:rPr/>
            </w:pPr>
            <w:r w:rsidDel="00000000" w:rsidR="00000000" w:rsidRPr="00000000">
              <w:rPr>
                <w:rtl w:val="0"/>
              </w:rPr>
              <w:t xml:space="preserve">Committee / fiduciary</w:t>
            </w:r>
          </w:p>
        </w:tc>
        <w:tc>
          <w:tcPr>
            <w:vAlign w:val="top"/>
          </w:tcPr>
          <w:p w:rsidR="00000000" w:rsidDel="00000000" w:rsidP="00000000" w:rsidRDefault="00000000" w:rsidRPr="00000000" w14:paraId="00000067">
            <w:pPr>
              <w:rPr/>
            </w:pPr>
            <w:r w:rsidDel="00000000" w:rsidR="00000000" w:rsidRPr="00000000">
              <w:rPr>
                <w:rtl w:val="0"/>
              </w:rPr>
              <w:t xml:space="preserve">Does the plan maximize estate value while respecting claimant rights? Are vulnerable claimants adequately informed?</w:t>
            </w:r>
          </w:p>
        </w:tc>
        <w:tc>
          <w:tcPr>
            <w:vAlign w:val="top"/>
          </w:tcPr>
          <w:p w:rsidR="00000000" w:rsidDel="00000000" w:rsidP="00000000" w:rsidRDefault="00000000" w:rsidRPr="00000000" w14:paraId="00000068">
            <w:pPr>
              <w:rPr/>
            </w:pPr>
            <w:r w:rsidDel="00000000" w:rsidR="00000000" w:rsidRPr="00000000">
              <w:rPr>
                <w:rtl w:val="0"/>
              </w:rPr>
              <w:t xml:space="preserve">Build a record on valuation, alternatives, notice, consent, governance, and distribution fairness.</w:t>
            </w:r>
          </w:p>
        </w:tc>
      </w:tr>
    </w:tbl>
    <w:p w:rsidR="00000000" w:rsidDel="00000000" w:rsidP="00000000" w:rsidRDefault="00000000" w:rsidRPr="00000000" w14:paraId="00000069">
      <w:pPr>
        <w:spacing w:after="80" w:line="252.00000000000003" w:lineRule="auto"/>
        <w:rPr/>
      </w:pPr>
      <w:r w:rsidDel="00000000" w:rsidR="00000000" w:rsidRPr="00000000">
        <w:rPr>
          <w:rtl w:val="0"/>
        </w:rPr>
      </w:r>
    </w:p>
    <w:p w:rsidR="00000000" w:rsidDel="00000000" w:rsidP="00000000" w:rsidRDefault="00000000" w:rsidRPr="00000000" w14:paraId="0000006A">
      <w:pPr>
        <w:pStyle w:val="Heading2"/>
        <w:spacing w:after="60" w:before="60" w:line="252.00000000000003" w:lineRule="auto"/>
        <w:rPr>
          <w:sz w:val="25"/>
          <w:szCs w:val="25"/>
        </w:rPr>
      </w:pPr>
      <w:r w:rsidDel="00000000" w:rsidR="00000000" w:rsidRPr="00000000">
        <w:rPr>
          <w:sz w:val="25"/>
          <w:szCs w:val="25"/>
          <w:rtl w:val="0"/>
        </w:rPr>
        <w:t xml:space="preserve">7.1 Consent Design After Harrington</w:t>
      </w:r>
    </w:p>
    <w:p w:rsidR="00000000" w:rsidDel="00000000" w:rsidP="00000000" w:rsidRDefault="00000000" w:rsidRPr="00000000" w14:paraId="0000006B">
      <w:pPr>
        <w:spacing w:after="80" w:line="252.00000000000003" w:lineRule="auto"/>
        <w:rPr/>
      </w:pPr>
      <w:r w:rsidDel="00000000" w:rsidR="00000000" w:rsidRPr="00000000">
        <w:rPr>
          <w:rtl w:val="0"/>
        </w:rPr>
        <w:t xml:space="preserve">Consent is now central. But “consent” can be contested. Courts may scrutinize whether non-voting, silence, failure to opt out, or receipt of notice alone is enough. A stronger record typically includes clear disclosure, plain-language explanations, affirmative opt-in procedures, accessible forms, adequate time, and evidence that the release was not buried in unrelated plan materials.</w:t>
      </w:r>
    </w:p>
    <w:p w:rsidR="00000000" w:rsidDel="00000000" w:rsidP="00000000" w:rsidRDefault="00000000" w:rsidRPr="00000000" w14:paraId="0000006C">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Best practice: separate the release election from the general plan vote where feasible.</w:t>
      </w:r>
    </w:p>
    <w:p w:rsidR="00000000" w:rsidDel="00000000" w:rsidP="00000000" w:rsidRDefault="00000000" w:rsidRPr="00000000" w14:paraId="0000006D">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Use plain language: identify released parties, released claims, carveouts, and consequences of consent.</w:t>
      </w:r>
    </w:p>
    <w:p w:rsidR="00000000" w:rsidDel="00000000" w:rsidP="00000000" w:rsidRDefault="00000000" w:rsidRPr="00000000" w14:paraId="0000006E">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Track proof of notice: mailing, email, publication, language access, and returned notices.</w:t>
      </w:r>
    </w:p>
    <w:p w:rsidR="00000000" w:rsidDel="00000000" w:rsidP="00000000" w:rsidRDefault="00000000" w:rsidRPr="00000000" w14:paraId="0000006F">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Avoid ambiguity: specify whether non-voters, abstainers, unimpaired creditors, or late claimants are bound.</w:t>
      </w:r>
    </w:p>
    <w:p w:rsidR="00000000" w:rsidDel="00000000" w:rsidP="00000000" w:rsidRDefault="00000000" w:rsidRPr="00000000" w14:paraId="00000070">
      <w:pPr>
        <w:pStyle w:val="Heading1"/>
        <w:spacing w:after="60" w:before="140" w:line="252.00000000000003" w:lineRule="auto"/>
        <w:rPr>
          <w:sz w:val="28"/>
          <w:szCs w:val="28"/>
        </w:rPr>
      </w:pPr>
      <w:r w:rsidDel="00000000" w:rsidR="00000000" w:rsidRPr="00000000">
        <w:rPr>
          <w:sz w:val="28"/>
          <w:szCs w:val="28"/>
          <w:rtl w:val="0"/>
        </w:rPr>
        <w:t xml:space="preserve">8. Red Flags and Issue-Spotting Checklist</w:t>
      </w:r>
    </w:p>
    <w:p w:rsidR="00000000" w:rsidDel="00000000" w:rsidP="00000000" w:rsidRDefault="00000000" w:rsidRPr="00000000" w14:paraId="00000071">
      <w:pPr>
        <w:spacing w:after="80" w:line="252.00000000000003" w:lineRule="auto"/>
        <w:rPr/>
      </w:pPr>
      <w:r w:rsidDel="00000000" w:rsidR="00000000" w:rsidRPr="00000000">
        <w:rPr>
          <w:rtl w:val="0"/>
        </w:rPr>
        <w:t xml:space="preserve">The following issues should trigger careful review by counsel, especially in mass-tort bankruptcies involving releases, injunctions, trusts, or non-debtor contributions.</w:t>
      </w:r>
    </w:p>
    <w:p w:rsidR="00000000" w:rsidDel="00000000" w:rsidP="00000000" w:rsidRDefault="00000000" w:rsidRPr="00000000" w14:paraId="00000072">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Overbroad release scope: release covers claims unrelated to the debtor, the estate, or plan implementation.</w:t>
      </w:r>
    </w:p>
    <w:p w:rsidR="00000000" w:rsidDel="00000000" w:rsidP="00000000" w:rsidRDefault="00000000" w:rsidRPr="00000000" w14:paraId="00000073">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Non-debtor receives protection without meaningful contribution or without asset disclosure sufficient to evaluate the settlement.</w:t>
      </w:r>
    </w:p>
    <w:p w:rsidR="00000000" w:rsidDel="00000000" w:rsidP="00000000" w:rsidRDefault="00000000" w:rsidRPr="00000000" w14:paraId="00000074">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Consent is inferred from silence, inaction, or confusing ballot language.</w:t>
      </w:r>
    </w:p>
    <w:p w:rsidR="00000000" w:rsidDel="00000000" w:rsidP="00000000" w:rsidRDefault="00000000" w:rsidRPr="00000000" w14:paraId="00000075">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Plan uses exculpation language to function as a disguised third-party release.</w:t>
      </w:r>
    </w:p>
    <w:p w:rsidR="00000000" w:rsidDel="00000000" w:rsidP="00000000" w:rsidRDefault="00000000" w:rsidRPr="00000000" w14:paraId="00000076">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Disclosure statement does not compare plan recovery with litigation alternatives, collection risk, or projected trust distributions.</w:t>
      </w:r>
    </w:p>
    <w:p w:rsidR="00000000" w:rsidDel="00000000" w:rsidP="00000000" w:rsidRDefault="00000000" w:rsidRPr="00000000" w14:paraId="00000077">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Trust governance is unclear, including trustee selection, claim valuation rules, appeal rights, audits, and reporting.</w:t>
      </w:r>
    </w:p>
    <w:p w:rsidR="00000000" w:rsidDel="00000000" w:rsidP="00000000" w:rsidRDefault="00000000" w:rsidRPr="00000000" w14:paraId="00000078">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Financial distress appears manufactured to obtain bankruptcy advantages rather than solve genuine insolvency or claims-resolution problems.</w:t>
      </w:r>
    </w:p>
    <w:p w:rsidR="00000000" w:rsidDel="00000000" w:rsidP="00000000" w:rsidRDefault="00000000" w:rsidRPr="00000000" w14:paraId="00000079">
      <w:pPr>
        <w:pStyle w:val="Heading1"/>
        <w:spacing w:after="60" w:before="140" w:line="252.00000000000003" w:lineRule="auto"/>
        <w:rPr>
          <w:sz w:val="28"/>
          <w:szCs w:val="28"/>
        </w:rPr>
      </w:pPr>
      <w:r w:rsidDel="00000000" w:rsidR="00000000" w:rsidRPr="00000000">
        <w:rPr>
          <w:sz w:val="28"/>
          <w:szCs w:val="28"/>
          <w:rtl w:val="0"/>
        </w:rPr>
        <w:t xml:space="preserve">9. Applied Hypotheticals for CLE Discussion</w:t>
      </w:r>
    </w:p>
    <w:p w:rsidR="00000000" w:rsidDel="00000000" w:rsidP="00000000" w:rsidRDefault="00000000" w:rsidRPr="00000000" w14:paraId="0000007A">
      <w:pPr>
        <w:spacing w:after="80" w:line="252.00000000000003" w:lineRule="auto"/>
        <w:rPr/>
      </w:pPr>
      <w:r w:rsidDel="00000000" w:rsidR="00000000" w:rsidRPr="00000000">
        <w:rPr>
          <w:rtl w:val="0"/>
        </w:rPr>
        <w:t xml:space="preserve">Hypothetical A - Parent/Subsidiary Product Liability. A subsidiary files Chapter 11 after thousands of product-liability claims. Claimants also sue the parent for negligent oversight. The parent offers $250 million to fund a trust if the plan releases all claims against it.</w:t>
      </w:r>
    </w:p>
    <w:p w:rsidR="00000000" w:rsidDel="00000000" w:rsidP="00000000" w:rsidRDefault="00000000" w:rsidRPr="00000000" w14:paraId="0000007B">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What evidence shows that litigation against the parent would deplete the debtor’s estate?</w:t>
      </w:r>
    </w:p>
    <w:p w:rsidR="00000000" w:rsidDel="00000000" w:rsidP="00000000" w:rsidRDefault="00000000" w:rsidRPr="00000000" w14:paraId="0000007C">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How should counsel design a consent mechanism after Harrington?</w:t>
      </w:r>
    </w:p>
    <w:p w:rsidR="00000000" w:rsidDel="00000000" w:rsidP="00000000" w:rsidRDefault="00000000" w:rsidRPr="00000000" w14:paraId="0000007D">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Could a narrower exculpation or settlement bar accomplish some objectives without violating Harrington?</w:t>
      </w:r>
    </w:p>
    <w:p w:rsidR="00000000" w:rsidDel="00000000" w:rsidP="00000000" w:rsidRDefault="00000000" w:rsidRPr="00000000" w14:paraId="0000007E">
      <w:pPr>
        <w:spacing w:after="80" w:line="252.00000000000003" w:lineRule="auto"/>
        <w:rPr/>
      </w:pPr>
      <w:r w:rsidDel="00000000" w:rsidR="00000000" w:rsidRPr="00000000">
        <w:rPr>
          <w:rtl w:val="0"/>
        </w:rPr>
        <w:t xml:space="preserve">Hypothetical B - Closely Held Company and Owner Withdrawals. A family-owned company enters bankruptcy after mass-tort claims. Claimants allege owners withdrew large dividends before filing. Owners refuse to file personal bankruptcy but will contribute money only if released.</w:t>
      </w:r>
    </w:p>
    <w:p w:rsidR="00000000" w:rsidDel="00000000" w:rsidP="00000000" w:rsidRDefault="00000000" w:rsidRPr="00000000" w14:paraId="0000007F">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What financial disclosures are needed to assess the adequacy of the contribution?</w:t>
      </w:r>
    </w:p>
    <w:p w:rsidR="00000000" w:rsidDel="00000000" w:rsidP="00000000" w:rsidRDefault="00000000" w:rsidRPr="00000000" w14:paraId="00000080">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How should claimant counsel compare plan recovery against direct litigation and collectability?</w:t>
      </w:r>
    </w:p>
    <w:p w:rsidR="00000000" w:rsidDel="00000000" w:rsidP="00000000" w:rsidRDefault="00000000" w:rsidRPr="00000000" w14:paraId="00000081">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Does overwhelming creditor support cure objections by claimants who refuse to consent?</w:t>
      </w:r>
    </w:p>
    <w:p w:rsidR="00000000" w:rsidDel="00000000" w:rsidP="00000000" w:rsidRDefault="00000000" w:rsidRPr="00000000" w14:paraId="00000082">
      <w:pPr>
        <w:pStyle w:val="Heading1"/>
        <w:spacing w:after="60" w:before="140" w:line="252.00000000000003"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1"/>
        <w:spacing w:after="60" w:before="140" w:line="252.00000000000003" w:lineRule="auto"/>
        <w:rPr>
          <w:sz w:val="28"/>
          <w:szCs w:val="28"/>
        </w:rPr>
      </w:pPr>
      <w:r w:rsidDel="00000000" w:rsidR="00000000" w:rsidRPr="00000000">
        <w:rPr>
          <w:sz w:val="28"/>
          <w:szCs w:val="28"/>
          <w:rtl w:val="0"/>
        </w:rPr>
        <w:t xml:space="preserve">10. One-Page Quick Reference</w:t>
      </w:r>
    </w:p>
    <w:p w:rsidR="00000000" w:rsidDel="00000000" w:rsidP="00000000" w:rsidRDefault="00000000" w:rsidRPr="00000000" w14:paraId="00000084">
      <w:pPr>
        <w:spacing w:after="80" w:line="252.00000000000003" w:lineRule="auto"/>
        <w:rPr/>
      </w:pPr>
      <w:r w:rsidDel="00000000" w:rsidR="00000000" w:rsidRPr="00000000">
        <w:rPr>
          <w:rtl w:val="0"/>
        </w:rPr>
        <w:t xml:space="preserve">If you remember nothing else: after Harrington, a Chapter 11 plan generally cannot give non-debtors a mandatory discharge of direct claims held by non-consenting claimants. The analysis must begin with statutory authority and consent, not with whether the settlement seems economically efficient.</w:t>
      </w:r>
    </w:p>
    <w:tbl>
      <w:tblPr>
        <w:tblStyle w:val="Table4"/>
        <w:tblW w:w="9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97"/>
        <w:gridCol w:w="4997"/>
        <w:tblGridChange w:id="0">
          <w:tblGrid>
            <w:gridCol w:w="4997"/>
            <w:gridCol w:w="4997"/>
          </w:tblGrid>
        </w:tblGridChange>
      </w:tblGrid>
      <w:tr>
        <w:trPr>
          <w:cantSplit w:val="0"/>
          <w:tblHeader w:val="0"/>
        </w:trPr>
        <w:tc>
          <w:tcPr>
            <w:shd w:fill="d9eaf7" w:val="clear"/>
            <w:vAlign w:val="center"/>
          </w:tcPr>
          <w:p w:rsidR="00000000" w:rsidDel="00000000" w:rsidP="00000000" w:rsidRDefault="00000000" w:rsidRPr="00000000" w14:paraId="00000085">
            <w:pPr>
              <w:rPr/>
            </w:pPr>
            <w:r w:rsidDel="00000000" w:rsidR="00000000" w:rsidRPr="00000000">
              <w:rPr>
                <w:b w:val="1"/>
                <w:bCs w:val="1"/>
                <w:rtl w:val="0"/>
              </w:rPr>
              <w:t xml:space="preserve">Issue</w:t>
            </w:r>
            <w:r w:rsidDel="00000000" w:rsidR="00000000" w:rsidRPr="00000000">
              <w:rPr>
                <w:rtl w:val="0"/>
              </w:rPr>
            </w:r>
          </w:p>
        </w:tc>
        <w:tc>
          <w:tcPr>
            <w:shd w:fill="d9eaf7" w:val="clear"/>
            <w:vAlign w:val="center"/>
          </w:tcPr>
          <w:p w:rsidR="00000000" w:rsidDel="00000000" w:rsidP="00000000" w:rsidRDefault="00000000" w:rsidRPr="00000000" w14:paraId="00000086">
            <w:pPr>
              <w:rPr/>
            </w:pPr>
            <w:r w:rsidDel="00000000" w:rsidR="00000000" w:rsidRPr="00000000">
              <w:rPr>
                <w:b w:val="1"/>
                <w:bCs w:val="1"/>
                <w:rtl w:val="0"/>
              </w:rPr>
              <w:t xml:space="preserve">Attorney Checklist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7">
            <w:pPr>
              <w:rPr/>
            </w:pPr>
            <w:r w:rsidDel="00000000" w:rsidR="00000000" w:rsidRPr="00000000">
              <w:rPr>
                <w:rtl w:val="0"/>
              </w:rPr>
              <w:t xml:space="preserve">Authority</w:t>
            </w:r>
          </w:p>
        </w:tc>
        <w:tc>
          <w:tcPr>
            <w:vAlign w:val="top"/>
          </w:tcPr>
          <w:p w:rsidR="00000000" w:rsidDel="00000000" w:rsidP="00000000" w:rsidRDefault="00000000" w:rsidRPr="00000000" w14:paraId="00000088">
            <w:pPr>
              <w:rPr/>
            </w:pPr>
            <w:r w:rsidDel="00000000" w:rsidR="00000000" w:rsidRPr="00000000">
              <w:rPr>
                <w:rtl w:val="0"/>
              </w:rPr>
              <w:t xml:space="preserve">Identify the Code provision authorizing the relief. Do not rely on equitable powers alone.</w:t>
            </w:r>
          </w:p>
        </w:tc>
      </w:tr>
      <w:tr>
        <w:trPr>
          <w:cantSplit w:val="0"/>
          <w:tblHeader w:val="0"/>
        </w:trPr>
        <w:tc>
          <w:tcPr>
            <w:vAlign w:val="top"/>
          </w:tcPr>
          <w:p w:rsidR="00000000" w:rsidDel="00000000" w:rsidP="00000000" w:rsidRDefault="00000000" w:rsidRPr="00000000" w14:paraId="00000089">
            <w:pPr>
              <w:rPr/>
            </w:pPr>
            <w:r w:rsidDel="00000000" w:rsidR="00000000" w:rsidRPr="00000000">
              <w:rPr>
                <w:rtl w:val="0"/>
              </w:rPr>
              <w:t xml:space="preserve">Consent</w:t>
            </w:r>
          </w:p>
        </w:tc>
        <w:tc>
          <w:tcPr>
            <w:vAlign w:val="top"/>
          </w:tcPr>
          <w:p w:rsidR="00000000" w:rsidDel="00000000" w:rsidP="00000000" w:rsidRDefault="00000000" w:rsidRPr="00000000" w14:paraId="0000008A">
            <w:pPr>
              <w:rPr/>
            </w:pPr>
            <w:r w:rsidDel="00000000" w:rsidR="00000000" w:rsidRPr="00000000">
              <w:rPr>
                <w:rtl w:val="0"/>
              </w:rPr>
              <w:t xml:space="preserve">Determine whether consent is affirmative, informed, and documented.</w:t>
            </w:r>
          </w:p>
        </w:tc>
      </w:tr>
      <w:tr>
        <w:trPr>
          <w:cantSplit w:val="0"/>
          <w:tblHeader w:val="0"/>
        </w:trPr>
        <w:tc>
          <w:tcPr>
            <w:vAlign w:val="top"/>
          </w:tcPr>
          <w:p w:rsidR="00000000" w:rsidDel="00000000" w:rsidP="00000000" w:rsidRDefault="00000000" w:rsidRPr="00000000" w14:paraId="0000008B">
            <w:pPr>
              <w:rPr/>
            </w:pPr>
            <w:r w:rsidDel="00000000" w:rsidR="00000000" w:rsidRPr="00000000">
              <w:rPr>
                <w:rtl w:val="0"/>
              </w:rPr>
              <w:t xml:space="preserve">Scope</w:t>
            </w:r>
          </w:p>
        </w:tc>
        <w:tc>
          <w:tcPr>
            <w:vAlign w:val="top"/>
          </w:tcPr>
          <w:p w:rsidR="00000000" w:rsidDel="00000000" w:rsidP="00000000" w:rsidRDefault="00000000" w:rsidRPr="00000000" w14:paraId="0000008C">
            <w:pPr>
              <w:rPr/>
            </w:pPr>
            <w:r w:rsidDel="00000000" w:rsidR="00000000" w:rsidRPr="00000000">
              <w:rPr>
                <w:rtl w:val="0"/>
              </w:rPr>
              <w:t xml:space="preserve">Limit any release to clearly identified parties, claims, and conduct.</w:t>
            </w:r>
          </w:p>
        </w:tc>
      </w:tr>
      <w:tr>
        <w:trPr>
          <w:cantSplit w:val="0"/>
          <w:tblHeader w:val="0"/>
        </w:trPr>
        <w:tc>
          <w:tcPr>
            <w:vAlign w:val="top"/>
          </w:tcPr>
          <w:p w:rsidR="00000000" w:rsidDel="00000000" w:rsidP="00000000" w:rsidRDefault="00000000" w:rsidRPr="00000000" w14:paraId="0000008D">
            <w:pPr>
              <w:rPr/>
            </w:pPr>
            <w:r w:rsidDel="00000000" w:rsidR="00000000" w:rsidRPr="00000000">
              <w:rPr>
                <w:rtl w:val="0"/>
              </w:rPr>
              <w:t xml:space="preserve">Disclosure</w:t>
            </w:r>
          </w:p>
        </w:tc>
        <w:tc>
          <w:tcPr>
            <w:vAlign w:val="top"/>
          </w:tcPr>
          <w:p w:rsidR="00000000" w:rsidDel="00000000" w:rsidP="00000000" w:rsidRDefault="00000000" w:rsidRPr="00000000" w14:paraId="0000008E">
            <w:pPr>
              <w:rPr/>
            </w:pPr>
            <w:r w:rsidDel="00000000" w:rsidR="00000000" w:rsidRPr="00000000">
              <w:rPr>
                <w:rtl w:val="0"/>
              </w:rPr>
              <w:t xml:space="preserve">Explain alternatives, projected recoveries, litigation risks, and consequences of consent.</w:t>
            </w:r>
          </w:p>
        </w:tc>
      </w:tr>
      <w:tr>
        <w:trPr>
          <w:cantSplit w:val="0"/>
          <w:tblHeader w:val="0"/>
        </w:trPr>
        <w:tc>
          <w:tcPr>
            <w:vAlign w:val="top"/>
          </w:tcPr>
          <w:p w:rsidR="00000000" w:rsidDel="00000000" w:rsidP="00000000" w:rsidRDefault="00000000" w:rsidRPr="00000000" w14:paraId="0000008F">
            <w:pPr>
              <w:rPr/>
            </w:pPr>
            <w:r w:rsidDel="00000000" w:rsidR="00000000" w:rsidRPr="00000000">
              <w:rPr>
                <w:rtl w:val="0"/>
              </w:rPr>
              <w:t xml:space="preserve">Record</w:t>
            </w:r>
          </w:p>
        </w:tc>
        <w:tc>
          <w:tcPr>
            <w:vAlign w:val="top"/>
          </w:tcPr>
          <w:p w:rsidR="00000000" w:rsidDel="00000000" w:rsidP="00000000" w:rsidRDefault="00000000" w:rsidRPr="00000000" w14:paraId="00000090">
            <w:pPr>
              <w:rPr/>
            </w:pPr>
            <w:r w:rsidDel="00000000" w:rsidR="00000000" w:rsidRPr="00000000">
              <w:rPr>
                <w:rtl w:val="0"/>
              </w:rPr>
              <w:t xml:space="preserve">Preserve evidence supporting notice, value, fairness, and compliance with the Code.</w:t>
            </w:r>
          </w:p>
        </w:tc>
      </w:tr>
    </w:tbl>
    <w:p w:rsidR="00000000" w:rsidDel="00000000" w:rsidP="00000000" w:rsidRDefault="00000000" w:rsidRPr="00000000" w14:paraId="00000091">
      <w:pPr>
        <w:spacing w:after="80" w:line="252.00000000000003" w:lineRule="auto"/>
        <w:rPr/>
      </w:pPr>
      <w:r w:rsidDel="00000000" w:rsidR="00000000" w:rsidRPr="00000000">
        <w:rPr>
          <w:rtl w:val="0"/>
        </w:rPr>
      </w:r>
    </w:p>
    <w:p w:rsidR="00000000" w:rsidDel="00000000" w:rsidP="00000000" w:rsidRDefault="00000000" w:rsidRPr="00000000" w14:paraId="00000092">
      <w:pPr>
        <w:pStyle w:val="Heading1"/>
        <w:spacing w:after="60" w:before="140" w:line="252.00000000000003" w:lineRule="auto"/>
        <w:rPr>
          <w:sz w:val="28"/>
          <w:szCs w:val="28"/>
        </w:rPr>
      </w:pPr>
      <w:bookmarkStart w:colFirst="0" w:colLast="0" w:name="_heading=h.nh5ox5cqejif" w:id="1"/>
      <w:bookmarkEnd w:id="1"/>
      <w:r w:rsidDel="00000000" w:rsidR="00000000" w:rsidRPr="00000000">
        <w:rPr>
          <w:sz w:val="28"/>
          <w:szCs w:val="28"/>
          <w:rtl w:val="0"/>
        </w:rPr>
        <w:t xml:space="preserve">11. Additional Resources</w:t>
      </w:r>
    </w:p>
    <w:p w:rsidR="00000000" w:rsidDel="00000000" w:rsidP="00000000" w:rsidRDefault="00000000" w:rsidRPr="00000000" w14:paraId="00000093">
      <w:pPr>
        <w:spacing w:after="80" w:line="252.00000000000003" w:lineRule="auto"/>
        <w:rPr/>
      </w:pPr>
      <w:r w:rsidDel="00000000" w:rsidR="00000000" w:rsidRPr="00000000">
        <w:rPr>
          <w:rtl w:val="0"/>
        </w:rPr>
        <w:t xml:space="preserve">Primary and official sources</w:t>
      </w:r>
    </w:p>
    <w:p w:rsidR="00000000" w:rsidDel="00000000" w:rsidP="00000000" w:rsidRDefault="00000000" w:rsidRPr="00000000" w14:paraId="00000094">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Harrington v. Purdue Pharma L.P., 603 U.S. ___ (2024), slip opinion, U.S. Supreme Court (June 27, 2024).</w:t>
      </w:r>
    </w:p>
    <w:p w:rsidR="00000000" w:rsidDel="00000000" w:rsidP="00000000" w:rsidRDefault="00000000" w:rsidRPr="00000000" w14:paraId="00000095">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11 U.S.C. § 362 (automatic stay).</w:t>
      </w:r>
    </w:p>
    <w:p w:rsidR="00000000" w:rsidDel="00000000" w:rsidP="00000000" w:rsidRDefault="00000000" w:rsidRPr="00000000" w14:paraId="00000096">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11 U.S.C. § 524 (effect of discharge; includes § 524(e) and asbestos-related § 524(g)).</w:t>
      </w:r>
    </w:p>
    <w:p w:rsidR="00000000" w:rsidDel="00000000" w:rsidP="00000000" w:rsidRDefault="00000000" w:rsidRPr="00000000" w14:paraId="00000097">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11 U.S.C. § 105(a) (bankruptcy court authority to issue necessary or appropriate orders).</w:t>
      </w:r>
    </w:p>
    <w:p w:rsidR="00000000" w:rsidDel="00000000" w:rsidP="00000000" w:rsidRDefault="00000000" w:rsidRPr="00000000" w14:paraId="00000098">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11 U.S.C. § 1123(b)(6) (plan provisions) and § 1129 (confirmation requirements).</w:t>
      </w:r>
    </w:p>
    <w:p w:rsidR="00000000" w:rsidDel="00000000" w:rsidP="00000000" w:rsidRDefault="00000000" w:rsidRPr="00000000" w14:paraId="00000099">
      <w:pPr>
        <w:spacing w:after="80" w:line="252.00000000000003" w:lineRule="auto"/>
        <w:rPr/>
      </w:pPr>
      <w:r w:rsidDel="00000000" w:rsidR="00000000" w:rsidRPr="00000000">
        <w:rPr>
          <w:rtl w:val="0"/>
        </w:rPr>
        <w:t xml:space="preserve">Helpful explanatory sources</w:t>
      </w:r>
    </w:p>
    <w:p w:rsidR="00000000" w:rsidDel="00000000" w:rsidP="00000000" w:rsidRDefault="00000000" w:rsidRPr="00000000" w14:paraId="0000009A">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U.S. Courts, Chapter 11 Bankruptcy Basics.</w:t>
      </w:r>
    </w:p>
    <w:p w:rsidR="00000000" w:rsidDel="00000000" w:rsidP="00000000" w:rsidRDefault="00000000" w:rsidRPr="00000000" w14:paraId="0000009B">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SCOTUSblog case page, Harrington v. Purdue Pharma L.P.</w:t>
      </w:r>
    </w:p>
    <w:p w:rsidR="00000000" w:rsidDel="00000000" w:rsidP="00000000" w:rsidRDefault="00000000" w:rsidRPr="00000000" w14:paraId="0000009C">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Oyez case summary, Harrington v. Purdue Pharma L.P.</w:t>
      </w:r>
    </w:p>
    <w:p w:rsidR="00000000" w:rsidDel="00000000" w:rsidP="00000000" w:rsidRDefault="00000000" w:rsidRPr="00000000" w14:paraId="0000009D">
      <w:pPr>
        <w:numPr>
          <w:ilvl w:val="0"/>
          <w:numId w:val="1"/>
        </w:numPr>
        <w:spacing w:after="0" w:line="252.00000000000003" w:lineRule="auto"/>
        <w:ind w:left="360"/>
        <w:rPr>
          <w:rFonts w:ascii="Calibri" w:cs="Calibri" w:eastAsia="Calibri" w:hAnsi="Calibri"/>
        </w:rPr>
      </w:pPr>
      <w:r w:rsidDel="00000000" w:rsidR="00000000" w:rsidRPr="00000000">
        <w:rPr>
          <w:rtl w:val="0"/>
        </w:rPr>
        <w:t xml:space="preserve">American Bankruptcy Institute materials on third-party releases and mass-tort bankruptcy practice.</w:t>
      </w:r>
    </w:p>
    <w:p w:rsidR="00000000" w:rsidDel="00000000" w:rsidP="00000000" w:rsidRDefault="00000000" w:rsidRPr="00000000" w14:paraId="0000009E">
      <w:pPr>
        <w:numPr>
          <w:ilvl w:val="0"/>
          <w:numId w:val="1"/>
        </w:numPr>
        <w:spacing w:after="40" w:line="252.00000000000003" w:lineRule="auto"/>
        <w:ind w:left="360"/>
        <w:rPr>
          <w:rFonts w:ascii="Calibri" w:cs="Calibri" w:eastAsia="Calibri" w:hAnsi="Calibri"/>
        </w:rPr>
      </w:pPr>
      <w:r w:rsidDel="00000000" w:rsidR="00000000" w:rsidRPr="00000000">
        <w:rPr>
          <w:rtl w:val="0"/>
        </w:rPr>
        <w:t xml:space="preserve">Recent practitioner alerts from restructuring groups analyzing post-Harrington plan drafting and consent mechanisms.</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52.00000000000003" w:lineRule="auto"/>
    </w:pPr>
    <w:rPr>
      <w:b w:val="1"/>
      <w:bCs w:val="1"/>
      <w:color w:val="366091"/>
      <w:sz w:val="26"/>
      <w:szCs w:val="26"/>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60" w:before="60" w:line="252.00000000000003" w:lineRule="auto"/>
    </w:pPr>
    <w:rPr>
      <w:b w:val="1"/>
      <w:bCs w:val="1"/>
      <w:color w:val="4f81bd"/>
      <w:sz w:val="23"/>
      <w:szCs w:val="23"/>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WQ7CSreDXNHChzf+dIGPTA51A==">CgMxLjAyDmgueXJjdDZsZDljYmxvMg5oLm5oNW94NWNxZWppZjgAciExTkc4eG50a0p4VlhJWEVvWHdhNjV4a0VQVGFTOGNVZTU=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