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Why Law Firms Implode</w:t>
      </w:r>
    </w:p>
    <w:p>
      <w:pPr>
        <w:spacing w:after="200"/>
      </w:pPr>
      <w:r>
        <w:rPr>
          <w:rFonts w:ascii="Montserrat" w:cs="Montserrat" w:eastAsia="Montserrat" w:hAnsi="Montserrat"/>
          <w:b/>
          <w:bCs/>
          <w:color w:val="E87722"/>
          <w:sz w:val="24"/>
          <w:szCs w:val="24"/>
        </w:rPr>
        <w:t>John D. Morley, Augustus E. Lines Professor of Law, Yale Law School</w:t>
      </w:r>
    </w:p>
    <w:p>
      <w:pPr>
        <w:pStyle w:val="Heading2"/>
        <w:spacing w:after="120" w:before="240"/>
      </w:pPr>
      <w:r>
        <w:rPr>
          <w:b/>
          <w:bCs/>
        </w:rPr>
        <w:t>Overview</w:t>
      </w:r>
    </w:p>
    <w:p>
      <w:pPr>
        <w:spacing w:after="160"/>
      </w:pPr>
      <w:r>
        <w:t>This program examines the structural causes of large law firm collapses and the legal consequences for partners. Professor John Morley explains why worker ownership makes law firms uniquely fragile; why firms typically fail while still formally profitable; how Model Rules 5.4 and 5.6 prevent firms from using outside capital or non-competition agreements to stabilize themselves; the roles of guaranteed compensation, non-equity partnership tiers, lateral mobility, and bank covenants in accelerating collapse; the sequence of a partner run; and the principal liabilities facing partners in a firm bankruptcy, including unfinished-business claims, clawback of distributions, and preference actions. The program reviews the collapses of Brobeck, Heller Ehrman, Dewey &amp; LeBoeuf, Bingham McCutchen, and Sedgwick, and updates the discussion with the 2023 dissolution of Stroock, the 2025–26 merger wave, the rise of alternative business structures and private equity investment in law practice, and the 2025 executive orders directed at law firms.</w:t>
      </w:r>
    </w:p>
    <w:p>
      <w:pPr>
        <w:pStyle w:val="Heading2"/>
        <w:spacing w:after="120" w:before="240"/>
      </w:pPr>
      <w:r>
        <w:rPr>
          <w:b/>
          <w:bCs/>
        </w:rPr>
        <w:t>Learning Objectives</w:t>
      </w:r>
    </w:p>
    <w:p>
      <w:pPr>
        <w:pStyle w:val="ListParagraph"/>
        <w:numPr>
          <w:ilvl w:val="0"/>
          <w:numId w:val="1"/>
        </w:numPr>
        <w:spacing w:after="80"/>
      </w:pPr>
      <w:r>
        <w:t>Explain why law firms, as worker-owned enterprises, are structurally more fragile than investor-owned businesses and why they typically fail while still formally profitable.</w:t>
      </w:r>
    </w:p>
    <w:p>
      <w:pPr>
        <w:pStyle w:val="ListParagraph"/>
        <w:numPr>
          <w:ilvl w:val="0"/>
          <w:numId w:val="1"/>
        </w:numPr>
        <w:spacing w:after="80"/>
      </w:pPr>
      <w:r>
        <w:t>Describe how Model Rules 5.4 and 5.6 constrain firms' ability to raise capital, retain partners, and build reserves.</w:t>
      </w:r>
    </w:p>
    <w:p>
      <w:pPr>
        <w:pStyle w:val="ListParagraph"/>
        <w:numPr>
          <w:ilvl w:val="0"/>
          <w:numId w:val="1"/>
        </w:numPr>
        <w:spacing w:after="80"/>
      </w:pPr>
      <w:r>
        <w:t>Identify the stages of a law firm collapse and the compensation and governance practices that accelerate or slow it.</w:t>
      </w:r>
    </w:p>
    <w:p>
      <w:pPr>
        <w:pStyle w:val="ListParagraph"/>
        <w:numPr>
          <w:ilvl w:val="0"/>
          <w:numId w:val="1"/>
        </w:numPr>
        <w:spacing w:after="80"/>
      </w:pPr>
      <w:r>
        <w:t>Analyze the liabilities of partners in a law firm bankruptcy, including unfinished-business claims, clawback, and preference actions, and the partnership-agreement provisions that mitigate them.</w:t>
      </w:r>
    </w:p>
    <w:p>
      <w:pPr>
        <w:pStyle w:val="ListParagraph"/>
        <w:numPr>
          <w:ilvl w:val="0"/>
          <w:numId w:val="1"/>
        </w:numPr>
        <w:spacing w:after="80"/>
      </w:pPr>
      <w:r>
        <w:t>Evaluate recent developments in law firm ownership and structure, including alternative business structures, management-services organizations, mergers, and political pressure on firms.</w:t>
      </w:r>
    </w:p>
    <w:p>
      <w:pPr>
        <w:pStyle w:val="Heading2"/>
        <w:spacing w:after="120" w:before="240"/>
      </w:pPr>
      <w:r>
        <w:rPr>
          <w:b/>
          <w:bCs/>
        </w:rPr>
        <w:t>The Structural Fragility of Law Firms</w:t>
      </w:r>
    </w:p>
    <w:p>
      <w:pPr>
        <w:pStyle w:val="ListParagraph"/>
        <w:numPr>
          <w:ilvl w:val="0"/>
          <w:numId w:val="1"/>
        </w:numPr>
        <w:spacing w:after="80"/>
      </w:pPr>
      <w:r>
        <w:t>Law firms are owned by their principal workers. A partner's compensation is both a return on ownership and payment for labor; when partners can earn more elsewhere, the firm is losing money in economic terms even if its accounts show a profit.</w:t>
      </w:r>
    </w:p>
    <w:p>
      <w:pPr>
        <w:pStyle w:val="ListParagraph"/>
        <w:numPr>
          <w:ilvl w:val="0"/>
          <w:numId w:val="1"/>
        </w:numPr>
        <w:spacing w:after="80"/>
      </w:pPr>
      <w:r>
        <w:t>Model Rule 5.6(a) prohibits agreements that restrict a lawyer's right to practice after leaving a firm, so firms cannot bind partners with non-competition covenants; Cohen v. Lord, Day &amp; Lord, 75 N.Y.2d 95 (1989). Financial disincentives to departure are generally unenforceable; limited exceptions exist in some states (e.g., Howard v. Babcock, 6 Cal. 4th 409 (1993)).</w:t>
      </w:r>
    </w:p>
    <w:p>
      <w:pPr>
        <w:pStyle w:val="ListParagraph"/>
        <w:numPr>
          <w:ilvl w:val="0"/>
          <w:numId w:val="1"/>
        </w:numPr>
        <w:spacing w:after="80"/>
      </w:pPr>
      <w:r>
        <w:t>Model Rule 5.4(d) prohibits practicing in a for-profit entity in which a non-lawyer owns an interest or directs the lawyer's professional judgment. Firms therefore cannot raise permanent equity capital from investors to absorb losses.</w:t>
      </w:r>
    </w:p>
    <w:p>
      <w:pPr>
        <w:pStyle w:val="ListParagraph"/>
        <w:numPr>
          <w:ilvl w:val="0"/>
          <w:numId w:val="1"/>
        </w:numPr>
        <w:spacing w:after="80"/>
      </w:pPr>
      <w:r>
        <w:t>Generational conflict prevents accumulation of reserves: partners nearing retirement will not forgo distributions to fund reserves that benefit future partners, so profits are distributed annually and firms operate with minimal capital.</w:t>
      </w:r>
    </w:p>
    <w:p>
      <w:pPr>
        <w:pStyle w:val="Heading2"/>
        <w:spacing w:after="120" w:before="240"/>
      </w:pPr>
      <w:r>
        <w:rPr>
          <w:b/>
          <w:bCs/>
        </w:rPr>
        <w:t>Compensation Structures and Their Risks</w:t>
      </w:r>
    </w:p>
    <w:p>
      <w:pPr>
        <w:pStyle w:val="ListParagraph"/>
        <w:numPr>
          <w:ilvl w:val="0"/>
          <w:numId w:val="1"/>
        </w:numPr>
        <w:spacing w:after="80"/>
      </w:pPr>
      <w:r>
        <w:t>Guaranteed compensation for lateral and rainmaking partners shifts risk to the remaining partners; at Dewey &amp; LeBoeuf, guarantees reportedly exceeding $100 million in aggregate contributed to the 2012 collapse.</w:t>
      </w:r>
    </w:p>
    <w:p>
      <w:pPr>
        <w:pStyle w:val="ListParagraph"/>
        <w:numPr>
          <w:ilvl w:val="0"/>
          <w:numId w:val="1"/>
        </w:numPr>
        <w:spacing w:after="80"/>
      </w:pPr>
      <w:r>
        <w:t>Non-equity partnership tiers improve reported profits per equity partner by reducing the denominator; non-equity partners are generally employees in legal terms, with consequences for liability, voting, and vicarious liability analysis.</w:t>
      </w:r>
    </w:p>
    <w:p>
      <w:pPr>
        <w:pStyle w:val="ListParagraph"/>
        <w:numPr>
          <w:ilvl w:val="0"/>
          <w:numId w:val="1"/>
        </w:numPr>
        <w:spacing w:after="80"/>
      </w:pPr>
      <w:r>
        <w:t>Profits-per-partner rankings (The American Lawyer) create pressure to distribute rather than retain earnings and to shed lower-performing equity partners.</w:t>
      </w:r>
    </w:p>
    <w:p>
      <w:pPr>
        <w:pStyle w:val="ListParagraph"/>
        <w:numPr>
          <w:ilvl w:val="0"/>
          <w:numId w:val="1"/>
        </w:numPr>
        <w:spacing w:after="80"/>
      </w:pPr>
      <w:r>
        <w:t>Long-term leases and bank credit facilities with covenants tied to headcount or revenue create fixed obligations that survive partner departures.</w:t>
      </w:r>
    </w:p>
    <w:p>
      <w:pPr>
        <w:pStyle w:val="Heading2"/>
        <w:spacing w:after="120" w:before="240"/>
      </w:pPr>
      <w:r>
        <w:rPr>
          <w:b/>
          <w:bCs/>
        </w:rPr>
        <w:t>Anatomy of a Collapse</w:t>
      </w:r>
    </w:p>
    <w:p>
      <w:pPr>
        <w:pStyle w:val="ListParagraph"/>
        <w:numPr>
          <w:ilvl w:val="0"/>
          <w:numId w:val="1"/>
        </w:numPr>
        <w:spacing w:after="80"/>
      </w:pPr>
      <w:r>
        <w:t>Typical sequence: decline in profits or a failed merger; departure of a few high-revenue partners; reduced distributions; further departures; covenant defaults; loss of lender confidence; and a final run as partners rationally leave before the firm fails.</w:t>
      </w:r>
    </w:p>
    <w:p>
      <w:pPr>
        <w:pStyle w:val="ListParagraph"/>
        <w:numPr>
          <w:ilvl w:val="0"/>
          <w:numId w:val="1"/>
        </w:numPr>
        <w:spacing w:after="80"/>
      </w:pPr>
      <w:r>
        <w:t>Historical examples: Finley Kumble (1987); Brobeck, Phleger &amp; Harrison (2003); Heller Ehrman (2008); Thelen (2008); Howrey (2011); Dewey &amp; LeBoeuf (2012); Bingham McCutchen (2014); Sedgwick (2017).</w:t>
      </w:r>
    </w:p>
    <w:p>
      <w:pPr>
        <w:pStyle w:val="ListParagraph"/>
        <w:numPr>
          <w:ilvl w:val="0"/>
          <w:numId w:val="1"/>
        </w:numPr>
        <w:spacing w:after="80"/>
      </w:pPr>
      <w:r>
        <w:t>Firm leaders can slow a run by transparent communication, elimination of guarantees, early restructuring of debt and leases, and in some cases an orderly merger or wind-down before departures accelerate.</w:t>
      </w:r>
    </w:p>
    <w:p>
      <w:pPr>
        <w:pStyle w:val="Heading2"/>
        <w:spacing w:after="120" w:before="240"/>
      </w:pPr>
      <w:r>
        <w:rPr>
          <w:b/>
          <w:bCs/>
        </w:rPr>
        <w:t>Partner Liability in Bankruptcy</w:t>
      </w:r>
    </w:p>
    <w:p>
      <w:pPr>
        <w:pStyle w:val="ListParagraph"/>
        <w:numPr>
          <w:ilvl w:val="0"/>
          <w:numId w:val="1"/>
        </w:numPr>
        <w:spacing w:after="80"/>
      </w:pPr>
      <w:r>
        <w:t>Unfinished-business doctrine: under Jewel v. Boxer, 156 Cal. App. 3d 171 (1984), a dissolved partnership may claim profits from matters pending at dissolution that partners take to new firms. New York rejected the doctrine for hourly matters in In re Thelen LLP, 24 N.Y.3d 16 (2014), and California followed in Heller Ehrman LLP v. Davis Wright Tremaine LLP, 4 Cal. 5th 467 (2018). The doctrine applies only to partners who remain until dissolution, creating an incentive to leave early.</w:t>
      </w:r>
    </w:p>
    <w:p>
      <w:pPr>
        <w:pStyle w:val="ListParagraph"/>
        <w:numPr>
          <w:ilvl w:val="0"/>
          <w:numId w:val="1"/>
        </w:numPr>
        <w:spacing w:after="80"/>
      </w:pPr>
      <w:r>
        <w:t>Clawback: distributions to partners made while the firm was insolvent may be recovered as fraudulent transfers under 11 U.S.C. §§ 544 and 548 and state law; Dewey's trustee recovered more than $70 million through partner contribution settlements.</w:t>
      </w:r>
    </w:p>
    <w:p>
      <w:pPr>
        <w:pStyle w:val="ListParagraph"/>
        <w:numPr>
          <w:ilvl w:val="0"/>
          <w:numId w:val="1"/>
        </w:numPr>
        <w:spacing w:after="80"/>
      </w:pPr>
      <w:r>
        <w:t>Preferences: payments to partners or creditors within 90 days (one year for insiders) before bankruptcy may be avoided under 11 U.S.C. § 547.</w:t>
      </w:r>
    </w:p>
    <w:p>
      <w:pPr>
        <w:pStyle w:val="ListParagraph"/>
        <w:numPr>
          <w:ilvl w:val="0"/>
          <w:numId w:val="1"/>
        </w:numPr>
        <w:spacing w:after="80"/>
      </w:pPr>
      <w:r>
        <w:t>Mitigations: partnership-agreement waivers of unfinished-business claims ("Jewel waivers"), limited liability partnership status, capital-contribution provisions, and timing of dissolution. Some mitigations, such as penalties for departure, are barred by Rule 5.6.</w:t>
      </w:r>
    </w:p>
    <w:p>
      <w:pPr>
        <w:pStyle w:val="Heading2"/>
        <w:spacing w:after="120" w:before="240"/>
      </w:pPr>
      <w:r>
        <w:rPr>
          <w:b/>
          <w:bCs/>
        </w:rPr>
        <w:t>Alternative Structures</w:t>
      </w:r>
    </w:p>
    <w:p>
      <w:pPr>
        <w:pStyle w:val="ListParagraph"/>
        <w:numPr>
          <w:ilvl w:val="0"/>
          <w:numId w:val="1"/>
        </w:numPr>
        <w:spacing w:after="80"/>
      </w:pPr>
      <w:r>
        <w:t>Slater &amp; Gordon, the Australian firm listed on the ASX in 2007, restructured through a debt-for-equity recapitalization in 2017 without dissolving, because its lawyers were employees rather than owners.</w:t>
      </w:r>
    </w:p>
    <w:p>
      <w:pPr>
        <w:pStyle w:val="ListParagraph"/>
        <w:numPr>
          <w:ilvl w:val="0"/>
          <w:numId w:val="1"/>
        </w:numPr>
        <w:spacing w:after="80"/>
      </w:pPr>
      <w:r>
        <w:t>Arizona abolished its Rule 5.4 equivalent in 2021 and licenses alternative business structures; Utah operates a regulatory sandbox. KPMG Law US, licensed in Arizona in 2025, is the first Big Four-affiliated U.S. law firm.</w:t>
      </w:r>
    </w:p>
    <w:p>
      <w:pPr>
        <w:pStyle w:val="ListParagraph"/>
        <w:numPr>
          <w:ilvl w:val="0"/>
          <w:numId w:val="1"/>
        </w:numPr>
        <w:spacing w:after="80"/>
      </w:pPr>
      <w:r>
        <w:t>Management-services organizations allow outside investors to own the non-legal business of a firm; private equity investment through this structure has increased, including Rafi's $125 million raise (2025) and Morgan &amp; Morgan's reported discussions regarding an outside stake. The ABA has not amended Rule 5.4; ABA Formal Opinion 499 (2021) permits lawyers to passively invest in ABS entities in jurisdictions that allow them.</w:t>
      </w:r>
    </w:p>
    <w:p>
      <w:pPr>
        <w:pStyle w:val="Heading2"/>
        <w:spacing w:after="120" w:before="240"/>
      </w:pPr>
      <w:r>
        <w:rPr>
          <w:b/>
          <w:bCs/>
        </w:rPr>
        <w:t>Developments to Know</w:t>
      </w:r>
    </w:p>
    <w:p>
      <w:pPr>
        <w:pStyle w:val="ListParagraph"/>
        <w:numPr>
          <w:ilvl w:val="0"/>
          <w:numId w:val="1"/>
        </w:numPr>
        <w:spacing w:after="80"/>
      </w:pPr>
      <w:r>
        <w:t>Stroock &amp; Stroock &amp; Lavan dissolved in October 2023 after merger talks with Pillsbury failed and partners departed; Burns &amp; Levinson wound down in 2024.</w:t>
      </w:r>
    </w:p>
    <w:p>
      <w:pPr>
        <w:pStyle w:val="ListParagraph"/>
        <w:numPr>
          <w:ilvl w:val="0"/>
          <w:numId w:val="1"/>
        </w:numPr>
        <w:spacing w:after="80"/>
      </w:pPr>
      <w:r>
        <w:t>Merger wave: Troutman Pepper Locke (2025), Herbert Smith Freehills Kramer (2025), McDermott Will &amp; Schulte (2025), Ashurst Perkins Coie (June 2026), Hogan Lovells and Cadwalader (July 2026) after the departure of 33 Cadwalader partners.</w:t>
      </w:r>
    </w:p>
    <w:p>
      <w:pPr>
        <w:pStyle w:val="ListParagraph"/>
        <w:numPr>
          <w:ilvl w:val="0"/>
          <w:numId w:val="1"/>
        </w:numPr>
        <w:spacing w:after="80"/>
      </w:pPr>
      <w:r>
        <w:t>Executive orders of March–April 2025 directed at Perkins Coie, Jenner &amp; Block, WilmerHale, and Susman Godfrey were enjoined by district courts; nine firms entered agreements with the administration committing pro bono resources; appeals were argued in the D.C. Circuit in May 2026.</w:t>
      </w:r>
    </w:p>
    <w:p>
      <w:pPr>
        <w:pStyle w:val="ListParagraph"/>
        <w:numPr>
          <w:ilvl w:val="0"/>
          <w:numId w:val="1"/>
        </w:numPr>
        <w:spacing w:after="80"/>
      </w:pPr>
      <w:r>
        <w:t>Am Law 100 (2026): Kirkland &amp; Ellis revenue $10.5 billion; average profits per equity partner $3.59 million; continued growth of non-equity tiers.</w:t>
      </w:r>
    </w:p>
    <w:p>
      <w:pPr>
        <w:pStyle w:val="ListParagraph"/>
        <w:numPr>
          <w:ilvl w:val="0"/>
          <w:numId w:val="1"/>
        </w:numPr>
        <w:spacing w:after="80"/>
      </w:pPr>
      <w:r>
        <w:t>Professor Morley now holds the Augustus E. Lines chair and co-hosts the New Law Order podcast on the business of 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