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Police Commands &amp; Police Coercion</w:t>
      </w:r>
    </w:p>
    <w:p>
      <w:pPr>
        <w:spacing w:after="200"/>
      </w:pPr>
      <w:r>
        <w:rPr>
          <w:rFonts w:ascii="Montserrat" w:cs="Montserrat" w:eastAsia="Montserrat" w:hAnsi="Montserrat"/>
          <w:b/>
          <w:bCs/>
          <w:color w:val="E87722"/>
          <w:sz w:val="24"/>
          <w:szCs w:val="24"/>
        </w:rPr>
        <w:t>Prof. Rachel Harmon, University of Virginia School of Law</w:t>
      </w:r>
    </w:p>
    <w:p>
      <w:pPr>
        <w:pStyle w:val="Heading2"/>
        <w:spacing w:after="120" w:before="240"/>
      </w:pPr>
      <w:r>
        <w:rPr>
          <w:b/>
          <w:bCs/>
        </w:rPr>
        <w:t>Overview</w:t>
      </w:r>
    </w:p>
    <w:p>
      <w:pPr>
        <w:spacing w:after="160"/>
      </w:pPr>
      <w:r>
        <w:t>This program examines police commands: the orders officers give to members of the public during encounters. Professor Rachel Harmon explains why commands, rather than force alone, are the basic units of police coercion, sets out the legal limits on what officers may order people to do, and argues that commands should be governed by state law and departmental policy rather than left largely unregulated. The discussion was recorded in 2023; the Developments to Know section summarizes later legal changes.</w:t>
      </w:r>
    </w:p>
    <w:p>
      <w:pPr>
        <w:pStyle w:val="Heading2"/>
        <w:spacing w:after="120" w:before="240"/>
      </w:pPr>
      <w:r>
        <w:rPr>
          <w:b/>
          <w:bCs/>
        </w:rPr>
        <w:t>Learning Objectives</w:t>
      </w:r>
    </w:p>
    <w:p>
      <w:pPr>
        <w:pStyle w:val="ListParagraph"/>
        <w:numPr>
          <w:ilvl w:val="0"/>
          <w:numId w:val="1"/>
        </w:numPr>
        <w:spacing w:after="80"/>
      </w:pPr>
      <w:r>
        <w:t>Identify the three basic types of police commands and explain the relationship between commands and the lawful use of force.</w:t>
      </w:r>
    </w:p>
    <w:p>
      <w:pPr>
        <w:pStyle w:val="ListParagraph"/>
        <w:numPr>
          <w:ilvl w:val="0"/>
          <w:numId w:val="1"/>
        </w:numPr>
        <w:spacing w:after="80"/>
      </w:pPr>
      <w:r>
        <w:t>Apply the three limits on a lawful command: constitutionality, notice and an opportunity to comply, and authorization under state law.</w:t>
      </w:r>
    </w:p>
    <w:p>
      <w:pPr>
        <w:pStyle w:val="ListParagraph"/>
        <w:numPr>
          <w:ilvl w:val="0"/>
          <w:numId w:val="1"/>
        </w:numPr>
        <w:spacing w:after="80"/>
      </w:pPr>
      <w:r>
        <w:t>Distinguish police requests from police commands and recognize the legal and practical problems created by ambiguous request-commands.</w:t>
      </w:r>
    </w:p>
    <w:p>
      <w:pPr>
        <w:pStyle w:val="ListParagraph"/>
        <w:numPr>
          <w:ilvl w:val="0"/>
          <w:numId w:val="1"/>
        </w:numPr>
        <w:spacing w:after="80"/>
      </w:pPr>
      <w:r>
        <w:t>Evaluate the legal consequences of failing to comply with lawful and unlawful commands, including failure-to-comply and resisting-arrest statutes.</w:t>
      </w:r>
    </w:p>
    <w:p>
      <w:pPr>
        <w:pStyle w:val="ListParagraph"/>
        <w:numPr>
          <w:ilvl w:val="0"/>
          <w:numId w:val="1"/>
        </w:numPr>
        <w:spacing w:after="80"/>
      </w:pPr>
      <w:r>
        <w:t>Assess how state statutes, state courts, and departmental policies could govern commands, including commands to people with disabilities.</w:t>
      </w:r>
    </w:p>
    <w:p>
      <w:pPr>
        <w:pStyle w:val="ListParagraph"/>
        <w:numPr>
          <w:ilvl w:val="0"/>
          <w:numId w:val="1"/>
        </w:numPr>
        <w:spacing w:after="80"/>
      </w:pPr>
      <w:r>
        <w:t>Apply Barnes v. Felix (2025) to excessive force claims that arise from enforcing commands.</w:t>
      </w:r>
    </w:p>
    <w:p>
      <w:pPr>
        <w:pStyle w:val="Heading2"/>
        <w:spacing w:after="120" w:before="240"/>
      </w:pPr>
      <w:r>
        <w:rPr>
          <w:b/>
          <w:bCs/>
        </w:rPr>
        <w:t>Commands as the Building Blocks of Policing</w:t>
      </w:r>
    </w:p>
    <w:p>
      <w:pPr>
        <w:pStyle w:val="ListParagraph"/>
        <w:numPr>
          <w:ilvl w:val="0"/>
          <w:numId w:val="1"/>
        </w:numPr>
        <w:spacing w:after="80"/>
      </w:pPr>
      <w:r>
        <w:t>Three types. Commands to do something ("hands up," "pop the trunk"), commands not to do something ("stay in the car"), and commands to stop doing something ("stop resisting").</w:t>
      </w:r>
    </w:p>
    <w:p>
      <w:pPr>
        <w:pStyle w:val="ListParagraph"/>
        <w:numPr>
          <w:ilvl w:val="0"/>
          <w:numId w:val="1"/>
        </w:numPr>
        <w:spacing w:after="80"/>
      </w:pPr>
      <w:r>
        <w:t>Commands before force. Force is generally lawful only in response to resistance, so an officer usually must issue a command before force is justified. Harmon describes commands as the "atoms" of policing: an arrest, stop, or search is typically carried out through a series of commands and compliance.</w:t>
      </w:r>
    </w:p>
    <w:p>
      <w:pPr>
        <w:pStyle w:val="ListParagraph"/>
        <w:numPr>
          <w:ilvl w:val="0"/>
          <w:numId w:val="1"/>
        </w:numPr>
        <w:spacing w:after="80"/>
      </w:pPr>
      <w:r>
        <w:t>Created obligations. Many commands, such as "get out of the car" or "turn around," create a legal obligation that did not exist and could not be known until the officer spoke. Others, such as knock-and-announce before executing a warrant, communicate an obligation created elsewhere.</w:t>
      </w:r>
    </w:p>
    <w:p>
      <w:pPr>
        <w:pStyle w:val="ListParagraph"/>
        <w:numPr>
          <w:ilvl w:val="0"/>
          <w:numId w:val="1"/>
        </w:numPr>
        <w:spacing w:after="80"/>
      </w:pPr>
      <w:r>
        <w:t>Tyre Nichols. Harmon cites the New York Times analysis finding that Memphis officers issued 71 commands in 13 minutes, many of them impossible to obey or enforced before Nichols could comply. The commands did not cause the violence, but they helped officers justify it.</w:t>
      </w:r>
    </w:p>
    <w:p>
      <w:pPr>
        <w:pStyle w:val="ListParagraph"/>
        <w:numPr>
          <w:ilvl w:val="0"/>
          <w:numId w:val="1"/>
        </w:numPr>
        <w:spacing w:after="80"/>
      </w:pPr>
      <w:r>
        <w:t>Commands are not always required. An officer facing an imminent threat to life, such as an active shooter, may use force without first issuing a command.</w:t>
      </w:r>
    </w:p>
    <w:p>
      <w:pPr>
        <w:pStyle w:val="Heading2"/>
        <w:spacing w:after="120" w:before="240"/>
      </w:pPr>
      <w:r>
        <w:rPr>
          <w:b/>
          <w:bCs/>
        </w:rPr>
        <w:t>Three Limits on a Lawful Command</w:t>
      </w:r>
    </w:p>
    <w:p>
      <w:pPr>
        <w:pStyle w:val="ListParagraph"/>
        <w:numPr>
          <w:ilvl w:val="0"/>
          <w:numId w:val="1"/>
        </w:numPr>
        <w:spacing w:after="80"/>
      </w:pPr>
      <w:r>
        <w:t>Constitutionality. A command to turn out one's pockets or open a door is a search that requires probable cause and a warrant or an exception; a command to put one's hands behind one's back requires authority to arrest or detain. The First Amendment bars orders to stop criticizing an officer or to stop recording police activity.</w:t>
      </w:r>
    </w:p>
    <w:p>
      <w:pPr>
        <w:pStyle w:val="ListParagraph"/>
        <w:numPr>
          <w:ilvl w:val="0"/>
          <w:numId w:val="1"/>
        </w:numPr>
        <w:spacing w:after="80"/>
      </w:pPr>
      <w:r>
        <w:t>Notice and an opportunity to comply. When a command creates a new obligation, the officer must communicate it and allow a reasonable chance to comply before using force.</w:t>
      </w:r>
    </w:p>
    <w:p>
      <w:pPr>
        <w:pStyle w:val="ListParagraph"/>
        <w:numPr>
          <w:ilvl w:val="0"/>
          <w:numId w:val="1"/>
        </w:numPr>
        <w:spacing w:after="80"/>
      </w:pPr>
      <w:r>
        <w:t>State-law authorization. Officers derive their power from state law, not from the Constitution. Courts often treat any constitutional order as authorized, but state law says little about many common orders, such as how far bystanders may be ordered back or whether drivers may be ordered out of a car in a routine stop. Pennsylvania v. Mimms, 434 U.S. 106 (1977), and Maryland v. Wilson, 519 U.S. 408 (1997), hold such orders constitutional, but some states restrict them under state constitutional law.</w:t>
      </w:r>
    </w:p>
    <w:p>
      <w:pPr>
        <w:pStyle w:val="Heading2"/>
        <w:spacing w:after="120" w:before="240"/>
      </w:pPr>
      <w:r>
        <w:rPr>
          <w:b/>
          <w:bCs/>
        </w:rPr>
        <w:t>Unlawful Commands and Compliance</w:t>
      </w:r>
    </w:p>
    <w:p>
      <w:pPr>
        <w:pStyle w:val="ListParagraph"/>
        <w:numPr>
          <w:ilvl w:val="0"/>
          <w:numId w:val="1"/>
        </w:numPr>
        <w:spacing w:after="80"/>
      </w:pPr>
      <w:r>
        <w:t>No prosecution for disobeying an unlawful order. A person cannot be prosecuted for refusing a command the officer had no authority to give, and force used to enforce it is unlawful. In some circumstances the person may sue, for example for First Amendment retaliation.</w:t>
      </w:r>
    </w:p>
    <w:p>
      <w:pPr>
        <w:pStyle w:val="ListParagraph"/>
        <w:numPr>
          <w:ilvl w:val="0"/>
          <w:numId w:val="1"/>
        </w:numPr>
        <w:spacing w:after="80"/>
      </w:pPr>
      <w:r>
        <w:t>Resistance is dangerous. States differ on whether a person may physically resist an unlawful arrest, and officers often perceive resistance as a threat.</w:t>
      </w:r>
    </w:p>
    <w:p>
      <w:pPr>
        <w:pStyle w:val="ListParagraph"/>
        <w:numPr>
          <w:ilvl w:val="0"/>
          <w:numId w:val="1"/>
        </w:numPr>
        <w:spacing w:after="80"/>
      </w:pPr>
      <w:r>
        <w:t>"Comply now, complain later." Harmon argues the slogan is misleading because there is often no effective way to complain later, particularly for commands that are not searches or seizures, such as "move along."</w:t>
      </w:r>
    </w:p>
    <w:p>
      <w:pPr>
        <w:pStyle w:val="ListParagraph"/>
        <w:numPr>
          <w:ilvl w:val="0"/>
          <w:numId w:val="1"/>
        </w:numPr>
        <w:spacing w:after="80"/>
      </w:pPr>
      <w:r>
        <w:t>Issuing versus enforcing. Issuing an unlawful command is not itself a crime and rarely produces liability; enforcing it through an arrest or force can.</w:t>
      </w:r>
    </w:p>
    <w:p>
      <w:pPr>
        <w:pStyle w:val="ListParagraph"/>
        <w:numPr>
          <w:ilvl w:val="0"/>
          <w:numId w:val="1"/>
        </w:numPr>
        <w:spacing w:after="80"/>
      </w:pPr>
      <w:r>
        <w:t>Failure-to-comply statutes. Statutes criminalizing failure to obey a "lawful order" depend on the order being independently authorized and are usually limited to traffic, crowd, and emergency settings. Whether passive resistance to a lawful arrest is a crime is a matter of state law.</w:t>
      </w:r>
    </w:p>
    <w:p>
      <w:pPr>
        <w:pStyle w:val="Heading2"/>
        <w:spacing w:after="120" w:before="240"/>
      </w:pPr>
      <w:r>
        <w:rPr>
          <w:b/>
          <w:bCs/>
        </w:rPr>
        <w:t>Requests Versus Commands</w:t>
      </w:r>
    </w:p>
    <w:p>
      <w:pPr>
        <w:pStyle w:val="ListParagraph"/>
        <w:numPr>
          <w:ilvl w:val="0"/>
          <w:numId w:val="1"/>
        </w:numPr>
        <w:spacing w:after="80"/>
      </w:pPr>
      <w:r>
        <w:t>A request invites voluntary cooperation; a command invokes state authority as the reason to comply, regardless of its content.</w:t>
      </w:r>
    </w:p>
    <w:p>
      <w:pPr>
        <w:pStyle w:val="ListParagraph"/>
        <w:numPr>
          <w:ilvl w:val="0"/>
          <w:numId w:val="1"/>
        </w:numPr>
        <w:spacing w:after="80"/>
      </w:pPr>
      <w:r>
        <w:t>Commands phrased as requests. "May I see your license and registration?" is a command despite its polite form. Officers are often trained to phrase commands politely, which can create ambiguity.</w:t>
      </w:r>
    </w:p>
    <w:p>
      <w:pPr>
        <w:pStyle w:val="ListParagraph"/>
        <w:numPr>
          <w:ilvl w:val="0"/>
          <w:numId w:val="1"/>
        </w:numPr>
        <w:spacing w:after="80"/>
      </w:pPr>
      <w:r>
        <w:t>Requests experienced as commands. "Can you pop the trunk?" may later be treated as a consensual request even though the person experienced it as an order.</w:t>
      </w:r>
    </w:p>
    <w:p>
      <w:pPr>
        <w:pStyle w:val="ListParagraph"/>
        <w:numPr>
          <w:ilvl w:val="0"/>
          <w:numId w:val="1"/>
        </w:numPr>
        <w:spacing w:after="80"/>
      </w:pPr>
      <w:r>
        <w:t>Asking for clarification. People may ask whether a statement is a request or a command, but some state courts have allowed that question to count toward suspicion. Harmon argues officers should be trained not to treat it as confrontational.</w:t>
      </w:r>
    </w:p>
    <w:p>
      <w:pPr>
        <w:pStyle w:val="ListParagraph"/>
        <w:numPr>
          <w:ilvl w:val="0"/>
          <w:numId w:val="1"/>
        </w:numPr>
        <w:spacing w:after="80"/>
      </w:pPr>
      <w:r>
        <w:t>Phones. Officers with authority to search may compel a fingerprint or face unlock, but compelling a passcode raises self-incrimination concerns; searching a phone generally requires a warrant.</w:t>
      </w:r>
    </w:p>
    <w:p>
      <w:pPr>
        <w:pStyle w:val="Heading2"/>
        <w:spacing w:after="120" w:before="240"/>
      </w:pPr>
      <w:r>
        <w:rPr>
          <w:b/>
          <w:bCs/>
        </w:rPr>
        <w:t>Governing Commands</w:t>
      </w:r>
    </w:p>
    <w:p>
      <w:pPr>
        <w:pStyle w:val="ListParagraph"/>
        <w:numPr>
          <w:ilvl w:val="0"/>
          <w:numId w:val="1"/>
        </w:numPr>
        <w:spacing w:after="80"/>
      </w:pPr>
      <w:r>
        <w:t>Departmental policy. Harmon has not seen a department policy governing how officers issue commands to the public. Policies could limit handcuffing during routine stops, orders to the ground, or orders moving back people who are recording.</w:t>
      </w:r>
    </w:p>
    <w:p>
      <w:pPr>
        <w:pStyle w:val="ListParagraph"/>
        <w:numPr>
          <w:ilvl w:val="0"/>
          <w:numId w:val="1"/>
        </w:numPr>
        <w:spacing w:after="80"/>
      </w:pPr>
      <w:r>
        <w:t>Disability. People who are deaf, on the autism spectrum, or have other conditions may be unable to perceive, understand, or comply with commands promptly, and training should address this. Procedural justice principles call for officers to hear why a person cannot comply.</w:t>
      </w:r>
    </w:p>
    <w:p>
      <w:pPr>
        <w:pStyle w:val="ListParagraph"/>
        <w:numPr>
          <w:ilvl w:val="0"/>
          <w:numId w:val="1"/>
        </w:numPr>
        <w:spacing w:after="80"/>
      </w:pPr>
      <w:r>
        <w:t>State law and courts. Legislatures could clarify authority for commands, especially safety-based orders that require no individualized suspicion, and state courts could separately examine authorization.</w:t>
      </w:r>
    </w:p>
    <w:p>
      <w:pPr>
        <w:pStyle w:val="ListParagraph"/>
        <w:numPr>
          <w:ilvl w:val="0"/>
          <w:numId w:val="1"/>
        </w:numPr>
        <w:spacing w:after="80"/>
      </w:pPr>
      <w:r>
        <w:t>Commands are valuable. Clear commands often protect both officers and the public. Harmon cites the 2015 tackling of tennis player James Blake, when officers used force without first issuing a command, as an arrest that should have been made by command.</w:t>
      </w:r>
    </w:p>
    <w:p>
      <w:pPr>
        <w:pStyle w:val="Heading2"/>
        <w:spacing w:after="120" w:before="240"/>
      </w:pPr>
      <w:r>
        <w:rPr>
          <w:b/>
          <w:bCs/>
        </w:rPr>
        <w:t>Developments to Know</w:t>
      </w:r>
    </w:p>
    <w:p>
      <w:pPr>
        <w:pStyle w:val="ListParagraph"/>
        <w:numPr>
          <w:ilvl w:val="0"/>
          <w:numId w:val="1"/>
        </w:numPr>
        <w:spacing w:after="80"/>
      </w:pPr>
      <w:r>
        <w:t>Barnes v. Felix, 605 U.S. ___ (May 15, 2025). In a unanimous opinion by Justice Kagan, the Court rejected the Fifth Circuit's moment-of-threat doctrine and held that excessive force claims under the Fourth Amendment must be assessed under the totality of the circumstances, including events before the moment force was used. The Court declined to decide whether or how an officer's own creation of the danger affects the analysis.</w:t>
      </w:r>
    </w:p>
    <w:p>
      <w:pPr>
        <w:pStyle w:val="ListParagraph"/>
        <w:numPr>
          <w:ilvl w:val="0"/>
          <w:numId w:val="1"/>
        </w:numPr>
        <w:spacing w:after="80"/>
      </w:pPr>
      <w:r>
        <w:t>Tyre Nichols prosecutions. In October 2024 a federal jury convicted three former Memphis officers of federal charges, including witness tampering, while two others pleaded guilty. In May 2025 a Tennessee jury acquitted the three of all state charges, including second-degree murder. In August 2025 the federal court ordered a new trial for the three after finding the original judge may have been biased, and as of October 2026 the government was appealing that order.</w:t>
      </w:r>
    </w:p>
    <w:p>
      <w:pPr>
        <w:pStyle w:val="ListParagraph"/>
        <w:numPr>
          <w:ilvl w:val="0"/>
          <w:numId w:val="1"/>
        </w:numPr>
        <w:spacing w:after="80"/>
      </w:pPr>
      <w:r>
        <w:t>Memphis findings and federal pattern-or-practice enforcement. The Justice Department found in December 2024 that the Memphis Police Department used excessive force and discriminated against Black people. In May 2025 the Department retracted those findings, closed investigations in several other jurisdictions, and moved to dismiss its consent decree cases against Louisville and Minneapolis.</w:t>
      </w:r>
    </w:p>
    <w:p>
      <w:pPr>
        <w:pStyle w:val="ListParagraph"/>
        <w:numPr>
          <w:ilvl w:val="0"/>
          <w:numId w:val="1"/>
        </w:numPr>
        <w:spacing w:after="80"/>
      </w:pPr>
      <w:r>
        <w:t>State preemption. In March 2024 Tennessee enacted a law overriding Memphis ordinances, adopted after Nichols's death, that limited traffic stops for minor violations.</w:t>
      </w:r>
    </w:p>
    <w:p>
      <w:pPr>
        <w:pStyle w:val="ListParagraph"/>
        <w:numPr>
          <w:ilvl w:val="0"/>
          <w:numId w:val="1"/>
        </w:numPr>
        <w:spacing w:after="80"/>
      </w:pPr>
      <w:r>
        <w:t>Scholarship. Professor Harmon's article "Law and Orders" appeared in the Columbia Law Review in 2023, and the second edition of her casebook The Law of the Police was published in 2024.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