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Inside the Shadow Docket</w:t>
      </w:r>
    </w:p>
    <w:p>
      <w:pPr>
        <w:spacing w:after="200"/>
      </w:pPr>
      <w:r>
        <w:rPr>
          <w:rFonts w:ascii="Montserrat" w:cs="Montserrat" w:eastAsia="Montserrat" w:hAnsi="Montserrat"/>
          <w:b/>
          <w:bCs/>
          <w:color w:val="E87722"/>
          <w:sz w:val="24"/>
          <w:szCs w:val="24"/>
        </w:rPr>
        <w:t>Prof. Stephen Vladeck, Agnes Williams Sesquicentennial Professor of Federal Courts, Georgetown University Law Center</w:t>
      </w:r>
    </w:p>
    <w:p>
      <w:pPr>
        <w:pStyle w:val="Heading2"/>
        <w:spacing w:after="120" w:before="240"/>
      </w:pPr>
      <w:r>
        <w:rPr>
          <w:b/>
          <w:bCs/>
        </w:rPr>
        <w:t>Overview</w:t>
      </w:r>
    </w:p>
    <w:p>
      <w:pPr>
        <w:spacing w:after="160"/>
      </w:pPr>
      <w:r>
        <w:t>This program examines the Supreme Court's "shadow docket": the orders it issues outside its signed merits opinions, including rulings on emergency applications, decisions on certiorari, and procedural orders that shape when and how cases are heard. Professor Stephen Vladeck, author of The Shadow Docket (2023), explains how the Court gained control of its docket, how its use of emergency orders changed in the late 2010s, the major COVID, immigration, abortion, election, and death-penalty orders that illustrate the shift, the principal defenses of the Court's practices, and his critique that unexplained, ideologically divided orders undermine the Court's legitimacy. He traces the practice's roots to death-penalty litigation in the early 1980s and proposes congressional reforms. The program was recorded in early 2023; updates cover the surge of emergency applications by the second Trump administration, Trump v. CASA, the Court's statements on the precedential weight of interim orders, Trump v. Slaughter and Trump v. Cook, and the Court's 2023 code of conduct.</w:t>
      </w:r>
    </w:p>
    <w:p>
      <w:pPr>
        <w:pStyle w:val="Heading2"/>
        <w:spacing w:after="120" w:before="240"/>
      </w:pPr>
      <w:r>
        <w:rPr>
          <w:b/>
          <w:bCs/>
        </w:rPr>
        <w:t>Learning Objectives</w:t>
      </w:r>
    </w:p>
    <w:p>
      <w:pPr>
        <w:pStyle w:val="ListParagraph"/>
        <w:numPr>
          <w:ilvl w:val="0"/>
          <w:numId w:val="1"/>
        </w:numPr>
        <w:spacing w:after="80"/>
      </w:pPr>
      <w:r>
        <w:t>Define the shadow docket and distinguish emergency applications from other unsigned orders, including certiorari decisions and grant-vacate-remand orders.</w:t>
      </w:r>
    </w:p>
    <w:p>
      <w:pPr>
        <w:pStyle w:val="ListParagraph"/>
        <w:numPr>
          <w:ilvl w:val="0"/>
          <w:numId w:val="1"/>
        </w:numPr>
        <w:spacing w:after="80"/>
      </w:pPr>
      <w:r>
        <w:t>Describe how Congress expanded the Supreme Court's discretionary jurisdiction in 1891, 1925, and 1988, and how that discretion affects the Court's power.</w:t>
      </w:r>
    </w:p>
    <w:p>
      <w:pPr>
        <w:pStyle w:val="ListParagraph"/>
        <w:numPr>
          <w:ilvl w:val="0"/>
          <w:numId w:val="1"/>
        </w:numPr>
        <w:spacing w:after="80"/>
      </w:pPr>
      <w:r>
        <w:t>Explain the standards and forms of emergency relief, including stays, injunctions, administrative stays, and certiorari before judgment.</w:t>
      </w:r>
    </w:p>
    <w:p>
      <w:pPr>
        <w:pStyle w:val="ListParagraph"/>
        <w:numPr>
          <w:ilvl w:val="0"/>
          <w:numId w:val="1"/>
        </w:numPr>
        <w:spacing w:after="80"/>
      </w:pPr>
      <w:r>
        <w:t>Evaluate the arguments for and against the Court's use of the shadow docket, including transparency, consistency, and precedential effect.</w:t>
      </w:r>
    </w:p>
    <w:p>
      <w:pPr>
        <w:pStyle w:val="ListParagraph"/>
        <w:numPr>
          <w:ilvl w:val="0"/>
          <w:numId w:val="1"/>
        </w:numPr>
        <w:spacing w:after="80"/>
      </w:pPr>
      <w:r>
        <w:t>Identify developments since 2023, including Trump v. CASA, Trump v. Boyle, and Trump v. Slaughter, and their implications for litigants seeking or opposing emergency relief.</w:t>
      </w:r>
    </w:p>
    <w:p>
      <w:pPr>
        <w:pStyle w:val="ListParagraph"/>
        <w:numPr>
          <w:ilvl w:val="0"/>
          <w:numId w:val="1"/>
        </w:numPr>
        <w:spacing w:after="80"/>
      </w:pPr>
      <w:r>
        <w:t>Assess proposals for congressional and institutional reform of the Court's emergency practices.</w:t>
      </w:r>
    </w:p>
    <w:p>
      <w:pPr>
        <w:pStyle w:val="Heading2"/>
        <w:spacing w:after="120" w:before="240"/>
      </w:pPr>
      <w:r>
        <w:rPr>
          <w:b/>
          <w:bCs/>
        </w:rPr>
        <w:t>What the Shadow Docket Is</w:t>
      </w:r>
    </w:p>
    <w:p>
      <w:pPr>
        <w:pStyle w:val="ListParagraph"/>
        <w:numPr>
          <w:ilvl w:val="0"/>
          <w:numId w:val="1"/>
        </w:numPr>
        <w:spacing w:after="80"/>
      </w:pPr>
      <w:r>
        <w:t>Origin of the term. Professor William Baude coined "shadow docket" in 2015 to describe the Court's orders outside its merits opinions. William Baude, Foreword: The Supreme Court's Shadow Docket, 9 N.Y.U. J.L. &amp; Liberty 1 (2015).</w:t>
      </w:r>
    </w:p>
    <w:p>
      <w:pPr>
        <w:pStyle w:val="ListParagraph"/>
        <w:numPr>
          <w:ilvl w:val="0"/>
          <w:numId w:val="1"/>
        </w:numPr>
        <w:spacing w:after="80"/>
      </w:pPr>
      <w:r>
        <w:t>Scope. As Vladeck uses the term, the shadow docket includes emergency applications, grants and denials of certiorari, grant-vacate-remand (GVR) orders, and scheduling decisions, such as when to grant review and therefore which term a case is heard. Most such orders are unsigned and unexplained, and individual votes are known only if justices choose to note them.</w:t>
      </w:r>
    </w:p>
    <w:p>
      <w:pPr>
        <w:pStyle w:val="ListParagraph"/>
        <w:numPr>
          <w:ilvl w:val="0"/>
          <w:numId w:val="1"/>
        </w:numPr>
        <w:spacing w:after="80"/>
      </w:pPr>
      <w:r>
        <w:t>Merits docket. The Court decided 53, 56, and 58 argued cases in the October 2019, 2020, and 2021 Terms, far fewer than the 150 or more cases it heard each term for much of the 20th century.</w:t>
      </w:r>
    </w:p>
    <w:p>
      <w:pPr>
        <w:pStyle w:val="ListParagraph"/>
        <w:numPr>
          <w:ilvl w:val="0"/>
          <w:numId w:val="1"/>
        </w:numPr>
        <w:spacing w:after="80"/>
      </w:pPr>
      <w:r>
        <w:t>Example. Through a series of orders in 2014 and 2015, including the October 2014 denial of certiorari in appeals from five states, the Court allowed same-sex marriage to proceed in more states than were affected by Obergefell v. Hodges, 576 U.S. 644 (2015).</w:t>
      </w:r>
    </w:p>
    <w:p>
      <w:pPr>
        <w:pStyle w:val="Heading2"/>
        <w:spacing w:after="120" w:before="240"/>
      </w:pPr>
      <w:r>
        <w:rPr>
          <w:b/>
          <w:bCs/>
        </w:rPr>
        <w:t>The Court's Control of Its Docket</w:t>
      </w:r>
    </w:p>
    <w:p>
      <w:pPr>
        <w:pStyle w:val="ListParagraph"/>
        <w:numPr>
          <w:ilvl w:val="0"/>
          <w:numId w:val="1"/>
        </w:numPr>
        <w:spacing w:after="80"/>
      </w:pPr>
      <w:r>
        <w:t>Evarts Act of 1891. Congress created the federal courts of appeals and first gave the Supreme Court discretionary review in a limited class of cases.</w:t>
      </w:r>
    </w:p>
    <w:p>
      <w:pPr>
        <w:pStyle w:val="ListParagraph"/>
        <w:numPr>
          <w:ilvl w:val="0"/>
          <w:numId w:val="1"/>
        </w:numPr>
        <w:spacing w:after="80"/>
      </w:pPr>
      <w:r>
        <w:t>Judges' Bill of 1925. Most appeals from the lower federal courts became discretionary, through petitions for certiorari.</w:t>
      </w:r>
    </w:p>
    <w:p>
      <w:pPr>
        <w:pStyle w:val="ListParagraph"/>
        <w:numPr>
          <w:ilvl w:val="0"/>
          <w:numId w:val="1"/>
        </w:numPr>
        <w:spacing w:after="80"/>
      </w:pPr>
      <w:r>
        <w:t>Supreme Court Case Selections Act of 1988. Congress eliminated most remaining mandatory appeals, including from state courts. Mandatory jurisdiction now remains mainly for decisions of three-judge district courts, such as certain redistricting and campaign-finance cases.</w:t>
      </w:r>
    </w:p>
    <w:p>
      <w:pPr>
        <w:pStyle w:val="ListParagraph"/>
        <w:numPr>
          <w:ilvl w:val="0"/>
          <w:numId w:val="1"/>
        </w:numPr>
        <w:spacing w:after="80"/>
      </w:pPr>
      <w:r>
        <w:t>Vladeck argues that the power to choose cases and questions is itself a significant source of the Court's institutional power.</w:t>
      </w:r>
    </w:p>
    <w:p>
      <w:pPr>
        <w:pStyle w:val="Heading2"/>
        <w:spacing w:after="120" w:before="240"/>
      </w:pPr>
      <w:r>
        <w:rPr>
          <w:b/>
          <w:bCs/>
        </w:rPr>
        <w:t>Emergency Relief: Forms and Standards</w:t>
      </w:r>
    </w:p>
    <w:p>
      <w:pPr>
        <w:pStyle w:val="ListParagraph"/>
        <w:numPr>
          <w:ilvl w:val="0"/>
          <w:numId w:val="1"/>
        </w:numPr>
        <w:spacing w:after="80"/>
      </w:pPr>
      <w:r>
        <w:t>Stays. A party may ask the Court to stay a lower-court ruling pending appeal. The Court considers whether the applicant is likely to succeed on the merits (and whether certiorari is likely to be granted), whether it will suffer irreparable harm, and the balance of equities. See Nken v. Holder, 556 U.S. 418 (2009); Hollingsworth v. Perry, 558 U.S. 183 (2010) (per curiam).</w:t>
      </w:r>
    </w:p>
    <w:p>
      <w:pPr>
        <w:pStyle w:val="ListParagraph"/>
        <w:numPr>
          <w:ilvl w:val="0"/>
          <w:numId w:val="1"/>
        </w:numPr>
        <w:spacing w:after="80"/>
      </w:pPr>
      <w:r>
        <w:t>Injunctions pending appeal. The Court may directly enjoin a government actor, a more extraordinary remedy that requires the applicant's right to relief to be "indisputably clear."</w:t>
      </w:r>
    </w:p>
    <w:p>
      <w:pPr>
        <w:pStyle w:val="ListParagraph"/>
        <w:numPr>
          <w:ilvl w:val="0"/>
          <w:numId w:val="1"/>
        </w:numPr>
        <w:spacing w:after="80"/>
      </w:pPr>
      <w:r>
        <w:t>Certiorari before judgment. The Court may grant review of a case pending in a court of appeals, bypassing that court. Vladeck describes the Court's practice of treating emergency applications as petitions for certiorari before judgment and GVR'ing cases in light of its own unexplained orders.</w:t>
      </w:r>
    </w:p>
    <w:p>
      <w:pPr>
        <w:pStyle w:val="ListParagraph"/>
        <w:numPr>
          <w:ilvl w:val="0"/>
          <w:numId w:val="1"/>
        </w:numPr>
        <w:spacing w:after="80"/>
      </w:pPr>
      <w:r>
        <w:t>Discretion. In Does 1-3 v. Mills, 142 S. Ct. 17 (2021), Justice Barrett, concurring, explained that the Court's discretion to grant emergency relief includes discretion to decline it even where the applicant might succeed on the merits.</w:t>
      </w:r>
    </w:p>
    <w:p>
      <w:pPr>
        <w:pStyle w:val="Heading2"/>
        <w:spacing w:after="120" w:before="240"/>
      </w:pPr>
      <w:r>
        <w:rPr>
          <w:b/>
          <w:bCs/>
        </w:rPr>
        <w:t>Key Orders Discussed</w:t>
      </w:r>
    </w:p>
    <w:p>
      <w:pPr>
        <w:pStyle w:val="ListParagraph"/>
        <w:numPr>
          <w:ilvl w:val="0"/>
          <w:numId w:val="1"/>
        </w:numPr>
        <w:spacing w:after="80"/>
      </w:pPr>
      <w:r>
        <w:t>South Bay United Pentecostal Church v. Newsom, 141 S. Ct. 716 (2021) (South Bay II). The Court partially enjoined California's ban on indoor worship services without a majority opinion.</w:t>
      </w:r>
    </w:p>
    <w:p>
      <w:pPr>
        <w:pStyle w:val="ListParagraph"/>
        <w:numPr>
          <w:ilvl w:val="0"/>
          <w:numId w:val="1"/>
        </w:numPr>
        <w:spacing w:after="80"/>
      </w:pPr>
      <w:r>
        <w:t>Gateway City Church v. Newsom, 141 S. Ct. 1460 (2021). In an unsigned order, the Court held that the Ninth Circuit erred in denying relief because the outcome was "clearly dictated" by South Bay II.</w:t>
      </w:r>
    </w:p>
    <w:p>
      <w:pPr>
        <w:pStyle w:val="ListParagraph"/>
        <w:numPr>
          <w:ilvl w:val="0"/>
          <w:numId w:val="1"/>
        </w:numPr>
        <w:spacing w:after="80"/>
      </w:pPr>
      <w:r>
        <w:t>Tandon v. Newsom, 593 U.S. 61 (2021) (per curiam). The Court enjoined California's limits on at-home religious gatherings and treated its earlier COVID orders as controlling.</w:t>
      </w:r>
    </w:p>
    <w:p>
      <w:pPr>
        <w:pStyle w:val="ListParagraph"/>
        <w:numPr>
          <w:ilvl w:val="0"/>
          <w:numId w:val="1"/>
        </w:numPr>
        <w:spacing w:after="80"/>
      </w:pPr>
      <w:r>
        <w:t>Dunn v. Smith, 141 S. Ct. 725 (2021). The Court left in place an injunction barring Alabama from executing Willie Smith without his pastor present. Four justices explained their votes in a concurrence; the votes of two others were never disclosed.</w:t>
      </w:r>
    </w:p>
    <w:p>
      <w:pPr>
        <w:pStyle w:val="ListParagraph"/>
        <w:numPr>
          <w:ilvl w:val="0"/>
          <w:numId w:val="1"/>
        </w:numPr>
        <w:spacing w:after="80"/>
      </w:pPr>
      <w:r>
        <w:t>Whole Woman's Health v. Jackson, 141 S. Ct. 2494 (2021). By a 5-4 vote, the Court declined to block Texas's SB8, which banned abortion after about six weeks and was enforced through private civil suits rather than by state officials. On the merits, the Court allowed a challenge to proceed only against certain state licensing officials. 595 U.S. 30 (2021).</w:t>
      </w:r>
    </w:p>
    <w:p>
      <w:pPr>
        <w:pStyle w:val="ListParagraph"/>
        <w:numPr>
          <w:ilvl w:val="0"/>
          <w:numId w:val="1"/>
        </w:numPr>
        <w:spacing w:after="80"/>
      </w:pPr>
      <w:r>
        <w:t>National Federation of Independent Business v. OSHA, 595 U.S. 109 (2022), and Biden v. Missouri, 595 U.S. 87 (2022). The Court heard oral argument on emergency applications concerning federal vaccine mandates.</w:t>
      </w:r>
    </w:p>
    <w:p>
      <w:pPr>
        <w:pStyle w:val="ListParagraph"/>
        <w:numPr>
          <w:ilvl w:val="0"/>
          <w:numId w:val="1"/>
        </w:numPr>
        <w:spacing w:after="80"/>
      </w:pPr>
      <w:r>
        <w:t>Merrill v. Milligan, 142 S. Ct. 879 (2022). Justice Kavanaugh, concurring in the grant of a stay, criticized "the catchy but worn-out rhetoric about the 'shadow docket.'"</w:t>
      </w:r>
    </w:p>
    <w:p>
      <w:pPr>
        <w:pStyle w:val="ListParagraph"/>
        <w:numPr>
          <w:ilvl w:val="0"/>
          <w:numId w:val="1"/>
        </w:numPr>
        <w:spacing w:after="80"/>
      </w:pPr>
      <w:r>
        <w:t>Arizona v. Mayorkas, 143 S. Ct. 478 (2022). By a 5-4 vote, the Court kept the Title 42 border policy in effect pending review; Justice Gorsuch dissented. After the policy ended in May 2023, the Court vacated the lower-court judgment and remanded for dismissal as moot.</w:t>
      </w:r>
    </w:p>
    <w:p>
      <w:pPr>
        <w:pStyle w:val="ListParagraph"/>
        <w:numPr>
          <w:ilvl w:val="0"/>
          <w:numId w:val="1"/>
        </w:numPr>
        <w:spacing w:after="80"/>
      </w:pPr>
      <w:r>
        <w:t>Biden v. Texas, 597 U.S. 785 (2022). After the Court denied the government a stay, it ruled for the Biden administration on the merits regarding the Migrant Protection Protocols, illustrating Vladeck's point that emergency rulings do not always predict merits outcomes.</w:t>
      </w:r>
    </w:p>
    <w:p>
      <w:pPr>
        <w:pStyle w:val="ListParagraph"/>
        <w:numPr>
          <w:ilvl w:val="0"/>
          <w:numId w:val="1"/>
        </w:numPr>
        <w:spacing w:after="80"/>
      </w:pPr>
      <w:r>
        <w:t>Raysor v. DeSantis, 140 S. Ct. 2600 (2020). The Court declined to disturb an Eleventh Circuit stay that allowed Florida to enforce limits on voting by people with felony convictions.</w:t>
      </w:r>
    </w:p>
    <w:p>
      <w:pPr>
        <w:pStyle w:val="Heading2"/>
        <w:spacing w:after="120" w:before="240"/>
      </w:pPr>
      <w:r>
        <w:rPr>
          <w:b/>
          <w:bCs/>
        </w:rPr>
        <w:t>Defenses and Critiques</w:t>
      </w:r>
    </w:p>
    <w:p>
      <w:pPr>
        <w:pStyle w:val="ListParagraph"/>
        <w:numPr>
          <w:ilvl w:val="0"/>
          <w:numId w:val="1"/>
        </w:numPr>
        <w:spacing w:after="80"/>
      </w:pPr>
      <w:r>
        <w:t>Defenses Vladeck addresses: lower-court resistance to the first Trump administration; the rise of nationwide injunctions; efficiency in reaching outcomes the Court would reach anyway; and the value of anonymity in fostering compromise. See also Justice Alito's September 2021 speech at the University of Notre Dame defending the Court's emergency practice.</w:t>
      </w:r>
    </w:p>
    <w:p>
      <w:pPr>
        <w:pStyle w:val="ListParagraph"/>
        <w:numPr>
          <w:ilvl w:val="0"/>
          <w:numId w:val="1"/>
        </w:numPr>
        <w:spacing w:after="80"/>
      </w:pPr>
      <w:r>
        <w:t>Vladeck's critique: the Court intervenes far more often, affects statewide and nationwide policies, treats unexplained orders as precedential, and acts inconsistently, with justices dividing along ideological lines more consistently than on the merits docket.</w:t>
      </w:r>
    </w:p>
    <w:p>
      <w:pPr>
        <w:pStyle w:val="ListParagraph"/>
        <w:numPr>
          <w:ilvl w:val="0"/>
          <w:numId w:val="1"/>
        </w:numPr>
        <w:spacing w:after="80"/>
      </w:pPr>
      <w:r>
        <w:t>Legitimacy. Vladeck argues that written explanations are the Court's best protection against charges of partisanship, echoing Justice Barrett's encouragement that the public read the Court's opinions before judging them.</w:t>
      </w:r>
    </w:p>
    <w:p>
      <w:pPr>
        <w:pStyle w:val="ListParagraph"/>
        <w:numPr>
          <w:ilvl w:val="0"/>
          <w:numId w:val="1"/>
        </w:numPr>
        <w:spacing w:after="80"/>
      </w:pPr>
      <w:r>
        <w:t>Anonymity. Professor Suzanna Sherry has argued that all of the Court's opinions should be unsigned. Our Kardashian Court (and How to Fix It), 106 Iowa L. Rev. 181 (2020).</w:t>
      </w:r>
    </w:p>
    <w:p>
      <w:pPr>
        <w:pStyle w:val="Heading2"/>
        <w:spacing w:after="120" w:before="240"/>
      </w:pPr>
      <w:r>
        <w:rPr>
          <w:b/>
          <w:bCs/>
        </w:rPr>
        <w:t>Origins and Proposed Reforms</w:t>
      </w:r>
    </w:p>
    <w:p>
      <w:pPr>
        <w:pStyle w:val="ListParagraph"/>
        <w:numPr>
          <w:ilvl w:val="0"/>
          <w:numId w:val="1"/>
        </w:numPr>
        <w:spacing w:after="80"/>
      </w:pPr>
      <w:r>
        <w:t>Death-penalty roots. After the Court allowed capital punishment to resume in 1976, end-stage execution litigation grew sharply (four execution-related applications reached the full Court in the October 1960 Term; 83 did in the October 1983 Term). The Court responded with procedures, including full-Court resolution of applications and unexplained orders, that later spread to other emergency matters.</w:t>
      </w:r>
    </w:p>
    <w:p>
      <w:pPr>
        <w:pStyle w:val="ListParagraph"/>
        <w:numPr>
          <w:ilvl w:val="0"/>
          <w:numId w:val="1"/>
        </w:numPr>
        <w:spacing w:after="80"/>
      </w:pPr>
      <w:r>
        <w:t>Proposed reforms: restoring some mandatory appellate jurisdiction; giving each prisoner facing an execution warrant one direct appeal to the Supreme Court before execution; and channeling nationwide challenges to a single court or three-judge district courts with expedited Supreme Court review.</w:t>
      </w:r>
    </w:p>
    <w:p>
      <w:pPr>
        <w:pStyle w:val="Heading2"/>
        <w:spacing w:after="120" w:before="240"/>
      </w:pPr>
      <w:r>
        <w:rPr>
          <w:b/>
          <w:bCs/>
        </w:rPr>
        <w:t>Developments to Know</w:t>
      </w:r>
    </w:p>
    <w:p>
      <w:pPr>
        <w:pStyle w:val="ListParagraph"/>
        <w:numPr>
          <w:ilvl w:val="0"/>
          <w:numId w:val="1"/>
        </w:numPr>
        <w:spacing w:after="80"/>
      </w:pPr>
      <w:r>
        <w:t>Volume. The second Trump administration filed 41 emergency applications by October 2026, matching the total from the first Trump administration, and prevailed in most. The full Court ruled on 140 applications in the October 2024 Term and 133 in the October 2025 Term, granting relief in 31 and 21, respectively. Some justices now use the term "interim docket."</w:t>
      </w:r>
    </w:p>
    <w:p>
      <w:pPr>
        <w:pStyle w:val="ListParagraph"/>
        <w:numPr>
          <w:ilvl w:val="0"/>
          <w:numId w:val="1"/>
        </w:numPr>
        <w:spacing w:after="80"/>
      </w:pPr>
      <w:r>
        <w:t>Universal injunctions. Trump v. CASA, Inc., 606 U.S. ___ (2025), held that universal injunctions likely exceed the equitable authority that Congress has given federal courts.</w:t>
      </w:r>
    </w:p>
    <w:p>
      <w:pPr>
        <w:pStyle w:val="ListParagraph"/>
        <w:numPr>
          <w:ilvl w:val="0"/>
          <w:numId w:val="1"/>
        </w:numPr>
        <w:spacing w:after="80"/>
      </w:pPr>
      <w:r>
        <w:t>Precedential weight. In Trump v. Boyle (2025), the Court stated that its interim orders, "[a]lthough . . . not conclusive as to the merits, . . . inform how a court should exercise its equitable discretion in like cases." In National Institutes of Health v. American Public Health Ass'n (2025), Justice Gorsuch, concurring in part, wrote that lower-court judges "are never free to defy" the Court's decisions.</w:t>
      </w:r>
    </w:p>
    <w:p>
      <w:pPr>
        <w:pStyle w:val="ListParagraph"/>
        <w:numPr>
          <w:ilvl w:val="0"/>
          <w:numId w:val="1"/>
        </w:numPr>
        <w:spacing w:after="80"/>
      </w:pPr>
      <w:r>
        <w:t>From interim order to merits. After interim orders in 2025 allowing the President to remove members of the NLRB, MSPB, CPSC, and FTC, the Court in Trump v. Slaughter (2026) overruled Humphrey's Executor v. United States, 295 U.S. 602 (1935). The same day, in Trump v. Cook, it denied the government's application to remove Federal Reserve Governor Lisa Cook pending litigation.</w:t>
      </w:r>
    </w:p>
    <w:p>
      <w:pPr>
        <w:pStyle w:val="ListParagraph"/>
        <w:numPr>
          <w:ilvl w:val="0"/>
          <w:numId w:val="1"/>
        </w:numPr>
        <w:spacing w:after="80"/>
      </w:pPr>
      <w:r>
        <w:t>Process. The Court has heard oral argument on some applications, including Ohio v. EPA, 603 U.S. 279 (2024), and has more often issued written opinions with its grants of relief.</w:t>
      </w:r>
    </w:p>
    <w:p>
      <w:pPr>
        <w:pStyle w:val="ListParagraph"/>
        <w:numPr>
          <w:ilvl w:val="0"/>
          <w:numId w:val="1"/>
        </w:numPr>
        <w:spacing w:after="80"/>
      </w:pPr>
      <w:r>
        <w:t>Ethics. The Court adopted a Code of Conduct for Justices on November 13, 2023.</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