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80"/>
      </w:pPr>
      <w:r>
        <w:rPr>
          <w:rFonts w:ascii="Montserrat" w:cs="Montserrat" w:eastAsia="Montserrat" w:hAnsi="Montserrat"/>
          <w:b/>
          <w:bCs/>
          <w:sz w:val="36"/>
          <w:szCs w:val="36"/>
        </w:rPr>
        <w:t xml:space="preserve">Free Speech on the Law School Campus</w:t>
      </w:r>
    </w:p>
    <w:p>
      <w:pPr>
        <w:spacing w:after="200"/>
      </w:pPr>
      <w:r>
        <w:rPr>
          <w:rFonts w:ascii="Montserrat" w:cs="Montserrat" w:eastAsia="Montserrat" w:hAnsi="Montserrat"/>
          <w:b/>
          <w:bCs/>
          <w:color w:val="E87722"/>
          <w:sz w:val="24"/>
          <w:szCs w:val="24"/>
        </w:rPr>
        <w:t xml:space="preserve">Dean Russell K. Osgood</w:t>
      </w:r>
    </w:p>
    <w:p>
      <w:pPr>
        <w:pBdr>
          <w:bottom w:val="single" w:color="E87722" w:sz="6"/>
        </w:pBdr>
        <w:spacing w:after="300"/>
      </w:pPr>
    </w:p>
    <w:p>
      <w:pPr>
        <w:pStyle w:val="Heading2"/>
        <w:spacing w:after="120" w:before="240"/>
      </w:pPr>
      <w:r>
        <w:rPr>
          <w:b/>
          <w:bCs/>
        </w:rPr>
        <w:t xml:space="preserve">Overview</w:t>
      </w:r>
    </w:p>
    <w:p>
      <w:pPr>
        <w:spacing w:after="160"/>
      </w:pPr>
      <w:r>
        <w:t xml:space="preserve">This program examines free expression in American law schools from a longtime dean's perspective. It covers the legal framework at public and private schools, academic freedom and tenure, harassment versus offensive speech, invited speakers and the heckler's veto, teaching contested subjects such as rape law and qualified immunity, and student speech on social media, with developments through September 2026.</w:t>
      </w:r>
    </w:p>
    <w:p>
      <w:pPr>
        <w:pStyle w:val="Heading2"/>
        <w:spacing w:after="120" w:before="240"/>
      </w:pPr>
      <w:r>
        <w:rPr>
          <w:b/>
          <w:bCs/>
        </w:rPr>
        <w:t xml:space="preserve">Learning Objectives</w:t>
      </w:r>
    </w:p>
    <w:p>
      <w:pPr>
        <w:pStyle w:val="ListParagraph"/>
        <w:numPr>
          <w:ilvl w:val="0"/>
          <w:numId w:val="1"/>
        </w:numPr>
        <w:spacing w:after="80"/>
      </w:pPr>
      <w:r>
        <w:t xml:space="preserve">Distinguish the speech obligations of public and private law schools.</w:t>
      </w:r>
    </w:p>
    <w:p>
      <w:pPr>
        <w:pStyle w:val="ListParagraph"/>
        <w:numPr>
          <w:ilvl w:val="0"/>
          <w:numId w:val="1"/>
        </w:numPr>
        <w:spacing w:after="80"/>
      </w:pPr>
      <w:r>
        <w:t xml:space="preserve">Explain the scope of academic freedom and tenure protections and the procedures for faculty discipline.</w:t>
      </w:r>
    </w:p>
    <w:p>
      <w:pPr>
        <w:pStyle w:val="ListParagraph"/>
        <w:numPr>
          <w:ilvl w:val="0"/>
          <w:numId w:val="1"/>
        </w:numPr>
        <w:spacing w:after="80"/>
      </w:pPr>
      <w:r>
        <w:t xml:space="preserve">Apply the legal standards that separate offensive or ill-chosen speech from actionable harassment.</w:t>
      </w:r>
    </w:p>
    <w:p>
      <w:pPr>
        <w:pStyle w:val="ListParagraph"/>
        <w:numPr>
          <w:ilvl w:val="0"/>
          <w:numId w:val="1"/>
        </w:numPr>
        <w:spacing w:after="80"/>
      </w:pPr>
      <w:r>
        <w:t xml:space="preserve">Analyze speaker invitations, protests, and disruptions under heckler's veto principles and ABA Standard 208.</w:t>
      </w:r>
    </w:p>
    <w:p>
      <w:pPr>
        <w:pStyle w:val="ListParagraph"/>
        <w:numPr>
          <w:ilvl w:val="0"/>
          <w:numId w:val="1"/>
        </w:numPr>
        <w:spacing w:after="80"/>
      </w:pPr>
      <w:r>
        <w:t xml:space="preserve">Describe current law on qualified immunity and police use of force.</w:t>
      </w:r>
    </w:p>
    <w:p>
      <w:pPr>
        <w:pStyle w:val="Heading2"/>
        <w:spacing w:after="120" w:before="240"/>
      </w:pPr>
      <w:r>
        <w:rPr>
          <w:b/>
          <w:bCs/>
        </w:rPr>
        <w:t xml:space="preserve">Legal Framework: Public and Private Law Schools</w:t>
      </w:r>
    </w:p>
    <w:p>
      <w:pPr>
        <w:pStyle w:val="ListParagraph"/>
        <w:numPr>
          <w:ilvl w:val="0"/>
          <w:numId w:val="1"/>
        </w:numPr>
        <w:spacing w:after="80"/>
      </w:pPr>
      <w:r>
        <w:rPr>
          <w:b/>
          <w:bCs/>
        </w:rPr>
        <w:t xml:space="preserve">Public institutions.</w:t>
      </w:r>
      <w:r>
        <w:t xml:space="preserve">The First Amendment binds public universities, and university students receive full First Amendment protection.</w:t>
      </w:r>
      <w:r>
        <w:rPr>
          <w:i/>
          <w:iCs/>
        </w:rPr>
        <w:t xml:space="preserve">Healy v. James</w:t>
      </w:r>
      <w:r>
        <w:t xml:space="preserve">, 408 U.S. 169 (1972). Government may not suppress speech because of the offense it causes.</w:t>
      </w:r>
      <w:r>
        <w:rPr>
          <w:i/>
          <w:iCs/>
        </w:rPr>
        <w:t xml:space="preserve">Texas v. Johnson</w:t>
      </w:r>
      <w:r>
        <w:t xml:space="preserve">, 491 U.S. 397 (1989);</w:t>
      </w:r>
      <w:r>
        <w:rPr>
          <w:i/>
          <w:iCs/>
        </w:rPr>
        <w:t xml:space="preserve">Matal v. Tam</w:t>
      </w:r>
      <w:r>
        <w:t xml:space="preserve">, 582 U.S. 218 (2017).</w:t>
      </w:r>
    </w:p>
    <w:p>
      <w:pPr>
        <w:pStyle w:val="ListParagraph"/>
        <w:numPr>
          <w:ilvl w:val="0"/>
          <w:numId w:val="1"/>
        </w:numPr>
        <w:spacing w:after="80"/>
      </w:pPr>
      <w:r>
        <w:rPr>
          <w:b/>
          <w:bCs/>
        </w:rPr>
        <w:t xml:space="preserve">Private institutions.</w:t>
      </w:r>
      <w:r>
        <w:t xml:space="preserve">The First Amendment does not directly bind private schools such as WashU. Their obligations come from their own published policies, which courts may enforce as contractual commitments, and in some states from statute, such as California's Leonard Law, Cal. Educ. Code § 94367.</w:t>
      </w:r>
    </w:p>
    <w:p>
      <w:pPr>
        <w:pStyle w:val="ListParagraph"/>
        <w:numPr>
          <w:ilvl w:val="0"/>
          <w:numId w:val="1"/>
        </w:numPr>
        <w:spacing w:after="80"/>
      </w:pPr>
      <w:r>
        <w:rPr>
          <w:b/>
          <w:bCs/>
        </w:rPr>
        <w:t xml:space="preserve">Institutional commitments.</w:t>
      </w:r>
      <w:r>
        <w:t xml:space="preserve">The University of Chicago's 2015 Report of the Committee on Freedom of Expression (the "Chicago Principles") has been adopted or endorsed by more than 120 institutions or faculty bodies, including Washington University, according to FIRE. The 1967 Kalven Committee Report counsels institutional neutrality on political and social issues.</w:t>
      </w:r>
    </w:p>
    <w:p>
      <w:pPr>
        <w:pStyle w:val="ListParagraph"/>
        <w:numPr>
          <w:ilvl w:val="0"/>
          <w:numId w:val="1"/>
        </w:numPr>
        <w:spacing w:after="80"/>
      </w:pPr>
      <w:r>
        <w:rPr>
          <w:b/>
          <w:bCs/>
        </w:rPr>
        <w:t xml:space="preserve">ABA Standard 208.</w:t>
      </w:r>
      <w:r>
        <w:t xml:space="preserve">Adopted in February 2024 and applicable to public and private law schools alike, Standard 208 requires written policies that protect academic freedom, with due process such as notice, hearing, and appeal rights; protect the rights of faculty, students, and staff to communicate ideas "that may be controversial or unpopular," including through "robust debate, demonstrations or protests"; and proscribe disruptive conduct that prevents or substantially interferes with law school functions. Schools may restrict expression that is unlawful, defamatory, a genuine threat, or harassment, and may adopt reasonable time, place, and manner rules.</w:t>
      </w:r>
    </w:p>
    <w:p>
      <w:pPr>
        <w:pStyle w:val="Heading2"/>
        <w:spacing w:after="120" w:before="240"/>
      </w:pPr>
      <w:r>
        <w:rPr>
          <w:b/>
          <w:bCs/>
        </w:rPr>
        <w:t xml:space="preserve">Academic Freedom, Tenure, and Faculty Speech</w:t>
      </w:r>
    </w:p>
    <w:p>
      <w:pPr>
        <w:pStyle w:val="ListParagraph"/>
        <w:numPr>
          <w:ilvl w:val="0"/>
          <w:numId w:val="1"/>
        </w:numPr>
        <w:spacing w:after="80"/>
      </w:pPr>
      <w:r>
        <w:rPr>
          <w:b/>
          <w:bCs/>
        </w:rPr>
        <w:t xml:space="preserve">Constitutional recognition.</w:t>
      </w:r>
      <w:r>
        <w:t xml:space="preserve">Academic freedom is "a special concern of the First Amendment."</w:t>
      </w:r>
      <w:r>
        <w:rPr>
          <w:i/>
          <w:iCs/>
        </w:rPr>
        <w:t xml:space="preserve">Keyishian v. Board of Regents</w:t>
      </w:r>
      <w:r>
        <w:t xml:space="preserve">, 385 U.S. 589, 603 (1967); see</w:t>
      </w:r>
      <w:r>
        <w:rPr>
          <w:i/>
          <w:iCs/>
        </w:rPr>
        <w:t xml:space="preserve">Sweezy v. New Hampshire</w:t>
      </w:r>
      <w:r>
        <w:t xml:space="preserve">, 354 U.S. 234 (1957).</w:t>
      </w:r>
    </w:p>
    <w:p>
      <w:pPr>
        <w:pStyle w:val="ListParagraph"/>
        <w:numPr>
          <w:ilvl w:val="0"/>
          <w:numId w:val="1"/>
        </w:numPr>
        <w:spacing w:after="80"/>
      </w:pPr>
      <w:r>
        <w:rPr>
          <w:b/>
          <w:bCs/>
        </w:rPr>
        <w:t xml:space="preserve">Public employee speech.</w:t>
      </w:r>
      <w:r>
        <w:t xml:space="preserve">Speech on matters of public concern is subject to</w:t>
      </w:r>
      <w:r>
        <w:rPr>
          <w:i/>
          <w:iCs/>
        </w:rPr>
        <w:t xml:space="preserve">Pickering v. Board of Education</w:t>
      </w:r>
      <w:r>
        <w:t xml:space="preserve">, 391 U.S. 563 (1968), balancing.</w:t>
      </w:r>
      <w:r>
        <w:rPr>
          <w:i/>
          <w:iCs/>
        </w:rPr>
        <w:t xml:space="preserve">Garcetti v. Ceballos</w:t>
      </w:r>
      <w:r>
        <w:t xml:space="preserve">, 547 U.S. 410 (2006), denied protection for speech made pursuant to official duties but reserved whether that rule reaches scholarship or teaching. The Sixth Circuit has held that it does not.</w:t>
      </w:r>
      <w:r>
        <w:rPr>
          <w:i/>
          <w:iCs/>
        </w:rPr>
        <w:t xml:space="preserve">Meriwether v. Hartop</w:t>
      </w:r>
      <w:r>
        <w:t xml:space="preserve">, 992 F.3d 492 (6th Cir. 2021).</w:t>
      </w:r>
    </w:p>
    <w:p>
      <w:pPr>
        <w:pStyle w:val="ListParagraph"/>
        <w:numPr>
          <w:ilvl w:val="0"/>
          <w:numId w:val="1"/>
        </w:numPr>
        <w:spacing w:after="80"/>
      </w:pPr>
      <w:r>
        <w:rPr>
          <w:b/>
          <w:bCs/>
        </w:rPr>
        <w:t xml:space="preserve">Tenure.</w:t>
      </w:r>
      <w:r>
        <w:t xml:space="preserve">The AAUP's 1940 Statement of Principles on Academic Freedom and Tenure is the model for most faculty handbooks, which typically permit dismissal of tenured faculty only for cause after a faculty hearing. As Osgood notes, handbooks often do not state clearly what conduct can lead to discipline.</w:t>
      </w:r>
    </w:p>
    <w:p>
      <w:pPr>
        <w:pStyle w:val="ListParagraph"/>
        <w:numPr>
          <w:ilvl w:val="0"/>
          <w:numId w:val="1"/>
        </w:numPr>
        <w:spacing w:after="80"/>
      </w:pPr>
      <w:r>
        <w:rPr>
          <w:b/>
          <w:bCs/>
        </w:rPr>
        <w:t xml:space="preserve">Slurs in the classroom.</w:t>
      </w:r>
      <w:r>
        <w:t xml:space="preserve">Several law schools have faced controversies over professors who spoke the full n-word while quoting cases. Osgood would bar the practice; others argue that quoting the record is legitimate pedagogy. In March 2021, Georgetown Law terminated an adjunct professor, and a second adjunct resigned, after a recorded Zoom conversation about Black students' performance.</w:t>
      </w:r>
    </w:p>
    <w:p>
      <w:pPr>
        <w:pStyle w:val="Heading2"/>
        <w:spacing w:after="120" w:before="240"/>
      </w:pPr>
      <w:r>
        <w:rPr>
          <w:b/>
          <w:bCs/>
        </w:rPr>
        <w:t xml:space="preserve">Harassment Versus Offensive Speech</w:t>
      </w:r>
    </w:p>
    <w:p>
      <w:pPr>
        <w:pStyle w:val="ListParagraph"/>
        <w:numPr>
          <w:ilvl w:val="0"/>
          <w:numId w:val="1"/>
        </w:numPr>
        <w:spacing w:after="80"/>
      </w:pPr>
      <w:r>
        <w:rPr>
          <w:b/>
          <w:bCs/>
        </w:rPr>
        <w:t xml:space="preserve">Legal standard.</w:t>
      </w:r>
      <w:r>
        <w:t xml:space="preserve">Schools are liable for peer harassment only when deliberately indifferent to conduct "so severe, pervasive, and objectively offensive" that it denies equal access to education.</w:t>
      </w:r>
      <w:r>
        <w:rPr>
          <w:i/>
          <w:iCs/>
        </w:rPr>
        <w:t xml:space="preserve">Davis v. Monroe County Board of Education</w:t>
      </w:r>
      <w:r>
        <w:t xml:space="preserve">, 526 U.S. 629, 650 (1999). Courts apply similar standards under Title VI, 42 U.S.C. § 2000d. The 2020 Title IX rule, which adopts that standard, again governs after a court vacated the 2024 rule in</w:t>
      </w:r>
      <w:r>
        <w:rPr>
          <w:i/>
          <w:iCs/>
        </w:rPr>
        <w:t xml:space="preserve">Tennessee v. Cardona</w:t>
      </w:r>
      <w:r>
        <w:t xml:space="preserve">(E.D. Ky. Jan. 9, 2025).</w:t>
      </w:r>
    </w:p>
    <w:p>
      <w:pPr>
        <w:pStyle w:val="ListParagraph"/>
        <w:numPr>
          <w:ilvl w:val="0"/>
          <w:numId w:val="1"/>
        </w:numPr>
        <w:spacing w:after="80"/>
      </w:pPr>
      <w:r>
        <w:rPr>
          <w:b/>
          <w:bCs/>
        </w:rPr>
        <w:t xml:space="preserve">Application.</w:t>
      </w:r>
      <w:r>
        <w:t xml:space="preserve">Consistent with Osgood's view, a single rude remark, such as calling a comment "dumb," ordinarily does not meet these standards, while a sustained pattern targeting one person may. Conduct codes may reach further, but at public schools they must avoid overbreadth and viewpoint discrimination.</w:t>
      </w:r>
    </w:p>
    <w:p>
      <w:pPr>
        <w:pStyle w:val="Heading2"/>
        <w:spacing w:after="120" w:before="240"/>
      </w:pPr>
      <w:r>
        <w:rPr>
          <w:b/>
          <w:bCs/>
        </w:rPr>
        <w:t xml:space="preserve">Invited Speakers and the Heckler's Veto</w:t>
      </w:r>
    </w:p>
    <w:p>
      <w:pPr>
        <w:pStyle w:val="ListParagraph"/>
        <w:numPr>
          <w:ilvl w:val="0"/>
          <w:numId w:val="1"/>
        </w:numPr>
        <w:spacing w:after="80"/>
      </w:pPr>
      <w:r>
        <w:rPr>
          <w:b/>
          <w:bCs/>
        </w:rPr>
        <w:t xml:space="preserve">Doctrine.</w:t>
      </w:r>
      <w:r>
        <w:t xml:space="preserve">Officials may not suppress speech because of listeners' hostile reaction or charge higher security fees because of it.</w:t>
      </w:r>
      <w:r>
        <w:rPr>
          <w:i/>
          <w:iCs/>
        </w:rPr>
        <w:t xml:space="preserve">Terminiello v. Chicago</w:t>
      </w:r>
      <w:r>
        <w:t xml:space="preserve">, 337 U.S. 1 (1949);</w:t>
      </w:r>
      <w:r>
        <w:rPr>
          <w:i/>
          <w:iCs/>
        </w:rPr>
        <w:t xml:space="preserve">Forsyth County v. Nationalist Movement</w:t>
      </w:r>
      <w:r>
        <w:t xml:space="preserve">, 505 U.S. 123 (1992). Protest is protected; sustained disruption that prevents a speaker from being heard is not.</w:t>
      </w:r>
    </w:p>
    <w:p>
      <w:pPr>
        <w:pStyle w:val="ListParagraph"/>
        <w:numPr>
          <w:ilvl w:val="0"/>
          <w:numId w:val="1"/>
        </w:numPr>
        <w:spacing w:after="80"/>
      </w:pPr>
      <w:r>
        <w:rPr>
          <w:b/>
          <w:bCs/>
        </w:rPr>
        <w:t xml:space="preserve">2022 incidents.</w:t>
      </w:r>
      <w:r>
        <w:t xml:space="preserve">On March 1, 2022, students at UC Hastings (renamed UC College of the Law, San Francisco, in 2023) prevented Ilya Shapiro from speaking. On March 10, 2022, students protested a Yale Law Federalist Society panel featuring Kristen Waggoner of Alliance Defending Freedom; accounts differ on how disruptive it was. Writing as AALS president that spring, Berkeley Law Dean Erwin Chemerinsky argued that "there is no right to use speech to silence others."</w:t>
      </w:r>
    </w:p>
    <w:p>
      <w:pPr>
        <w:pStyle w:val="ListParagraph"/>
        <w:numPr>
          <w:ilvl w:val="0"/>
          <w:numId w:val="1"/>
        </w:numPr>
        <w:spacing w:after="80"/>
      </w:pPr>
      <w:r>
        <w:rPr>
          <w:b/>
          <w:bCs/>
        </w:rPr>
        <w:t xml:space="preserve">Stanford (2023).</w:t>
      </w:r>
      <w:r>
        <w:t xml:space="preserve">After students disrupted a March 9, 2023 talk by Fifth Circuit Judge Kyle Duncan, Stanford Law Dean Jenny Martinez required a half-day program on free speech and professional norms.</w:t>
      </w:r>
    </w:p>
    <w:p>
      <w:pPr>
        <w:pStyle w:val="Heading2"/>
        <w:spacing w:after="120" w:before="240"/>
      </w:pPr>
      <w:r>
        <w:rPr>
          <w:b/>
          <w:bCs/>
        </w:rPr>
        <w:t xml:space="preserve">Teaching Contested Doctrine</w:t>
      </w:r>
    </w:p>
    <w:p>
      <w:pPr>
        <w:pStyle w:val="ListParagraph"/>
        <w:numPr>
          <w:ilvl w:val="0"/>
          <w:numId w:val="1"/>
        </w:numPr>
        <w:spacing w:after="80"/>
      </w:pPr>
      <w:r>
        <w:rPr>
          <w:b/>
          <w:bCs/>
        </w:rPr>
        <w:t xml:space="preserve">Rape law.</w:t>
      </w:r>
      <w:r>
        <w:t xml:space="preserve">The common law defined rape as carnal knowledge of a woman "forcibly and against her will" and exempted husbands. New York's high court struck down the marital exemption in</w:t>
      </w:r>
      <w:r>
        <w:rPr>
          <w:i/>
          <w:iCs/>
        </w:rPr>
        <w:t xml:space="preserve">People v. Liberta</w:t>
      </w:r>
      <w:r>
        <w:t xml:space="preserve">, 64 N.Y.2d 152 (1984), and by 1993 every state had criminalized marital rape at least in some circumstances. In 2021, American Law Institute members approved revised Model Penal Code sexual assault provisions that center on consent and do not require resistance.</w:t>
      </w:r>
    </w:p>
    <w:p>
      <w:pPr>
        <w:pStyle w:val="ListParagraph"/>
        <w:numPr>
          <w:ilvl w:val="0"/>
          <w:numId w:val="1"/>
        </w:numPr>
        <w:spacing w:after="80"/>
      </w:pPr>
      <w:r>
        <w:rPr>
          <w:b/>
          <w:bCs/>
        </w:rPr>
        <w:t xml:space="preserve">Qualified immunity.</w:t>
      </w:r>
      <w:r>
        <w:t xml:space="preserve">Qualified immunity shields officials from civil damages claims, such as those under 42 U.S.C. § 1983, unless they violated clearly established law.</w:t>
      </w:r>
      <w:r>
        <w:rPr>
          <w:i/>
          <w:iCs/>
        </w:rPr>
        <w:t xml:space="preserve">Harlow v. Fitzgerald</w:t>
      </w:r>
      <w:r>
        <w:t xml:space="preserve">, 457 U.S. 800 (1982);</w:t>
      </w:r>
      <w:r>
        <w:rPr>
          <w:i/>
          <w:iCs/>
        </w:rPr>
        <w:t xml:space="preserve">Pearson v. Callahan</w:t>
      </w:r>
      <w:r>
        <w:t xml:space="preserve">, 555 U.S. 223 (2009). Contrary to the conversation's suggestion, it is not a defense to criminal prosecution. Officers charged under 18 U.S.C. § 242 or state law rely on statutory justification defenses, such as N.Y. Penal Law § 35.30. Colorado (2020) and New Mexico (2021) have created state-law claims to which qualified immunity does not apply.</w:t>
      </w:r>
    </w:p>
    <w:p>
      <w:pPr>
        <w:pStyle w:val="ListParagraph"/>
        <w:numPr>
          <w:ilvl w:val="0"/>
          <w:numId w:val="1"/>
        </w:numPr>
        <w:spacing w:after="80"/>
      </w:pPr>
      <w:r>
        <w:rPr>
          <w:b/>
          <w:bCs/>
        </w:rPr>
        <w:t xml:space="preserve">Use of force.</w:t>
      </w:r>
      <w:r>
        <w:t xml:space="preserve">Force is judged by objective reasonableness.</w:t>
      </w:r>
      <w:r>
        <w:rPr>
          <w:i/>
          <w:iCs/>
        </w:rPr>
        <w:t xml:space="preserve">Graham v. Connor</w:t>
      </w:r>
      <w:r>
        <w:t xml:space="preserve">, 490 U.S. 386 (1989);</w:t>
      </w:r>
      <w:r>
        <w:rPr>
          <w:i/>
          <w:iCs/>
        </w:rPr>
        <w:t xml:space="preserve">Tennessee v. Garner</w:t>
      </w:r>
      <w:r>
        <w:t xml:space="preserve">, 471 U.S. 1 (1985) (deadly force). On Osgood's multiple-shots hypothetical, officers justified in firing "need not stop shooting until the threat has ended."</w:t>
      </w:r>
      <w:r>
        <w:rPr>
          <w:i/>
          <w:iCs/>
        </w:rPr>
        <w:t xml:space="preserve">Plumhoff v. Rickard</w:t>
      </w:r>
      <w:r>
        <w:t xml:space="preserve">, 572 U.S. 765 (2014). In</w:t>
      </w:r>
      <w:r>
        <w:rPr>
          <w:i/>
          <w:iCs/>
        </w:rPr>
        <w:t xml:space="preserve">Barnes v. Felix</w:t>
      </w:r>
      <w:r>
        <w:t xml:space="preserve">, 605 U.S. 73 (2025), the Court unanimously rejected the "moment of threat" rule in favor of the totality of the circumstances.</w:t>
      </w:r>
    </w:p>
    <w:p>
      <w:pPr>
        <w:pStyle w:val="ListParagraph"/>
        <w:numPr>
          <w:ilvl w:val="0"/>
          <w:numId w:val="1"/>
        </w:numPr>
        <w:spacing w:after="80"/>
      </w:pPr>
      <w:r>
        <w:rPr>
          <w:b/>
          <w:bCs/>
        </w:rPr>
        <w:t xml:space="preserve">Terminology.</w:t>
      </w:r>
      <w:r>
        <w:rPr>
          <w:i/>
          <w:iCs/>
        </w:rPr>
        <w:t xml:space="preserve">Roe v. Wade</w:t>
      </w:r>
      <w:r>
        <w:t xml:space="preserve">, 410 U.S. 113 (1973), and</w:t>
      </w:r>
      <w:r>
        <w:rPr>
          <w:i/>
          <w:iCs/>
        </w:rPr>
        <w:t xml:space="preserve">Planned Parenthood of Southeastern Pennsylvania v. Casey</w:t>
      </w:r>
      <w:r>
        <w:t xml:space="preserve">, 505 U.S. 833 (1992), were overruled by</w:t>
      </w:r>
      <w:r>
        <w:rPr>
          <w:i/>
          <w:iCs/>
        </w:rPr>
        <w:t xml:space="preserve">Dobbs v. Jackson Women's Health Organization</w:t>
      </w:r>
      <w:r>
        <w:t xml:space="preserve">, 597 U.S. 215 (2022). The Immigration and Nationality Act defines "alien" as any person who is not a U.S. citizen or national. 8 U.S.C. § 1101(a)(3).</w:t>
      </w:r>
    </w:p>
    <w:p>
      <w:pPr>
        <w:pStyle w:val="Heading2"/>
        <w:spacing w:after="120" w:before="240"/>
      </w:pPr>
      <w:r>
        <w:rPr>
          <w:b/>
          <w:bCs/>
        </w:rPr>
        <w:t xml:space="preserve">Social Media and Outside Pressure</w:t>
      </w:r>
    </w:p>
    <w:p>
      <w:pPr>
        <w:pStyle w:val="ListParagraph"/>
        <w:numPr>
          <w:ilvl w:val="0"/>
          <w:numId w:val="1"/>
        </w:numPr>
        <w:spacing w:after="80"/>
      </w:pPr>
      <w:r>
        <w:rPr>
          <w:b/>
          <w:bCs/>
        </w:rPr>
        <w:t xml:space="preserve">Student speech online.</w:t>
      </w:r>
      <w:r>
        <w:t xml:space="preserve">In</w:t>
      </w:r>
      <w:r>
        <w:rPr>
          <w:i/>
          <w:iCs/>
        </w:rPr>
        <w:t xml:space="preserve">Mahanoy Area School District v. B.L.</w:t>
      </w:r>
      <w:r>
        <w:t xml:space="preserve">, 594 U.S. 180 (2021), the Court held that a public school violated a student's rights by punishing an off-campus social media post, while noting schools retain some interest in off-campus harassment of particular individuals.</w:t>
      </w:r>
    </w:p>
    <w:p>
      <w:pPr>
        <w:pStyle w:val="ListParagraph"/>
        <w:numPr>
          <w:ilvl w:val="0"/>
          <w:numId w:val="1"/>
        </w:numPr>
        <w:spacing w:after="80"/>
      </w:pPr>
      <w:r>
        <w:rPr>
          <w:b/>
          <w:bCs/>
        </w:rPr>
        <w:t xml:space="preserve">Travel ban.</w:t>
      </w:r>
      <w:r>
        <w:t xml:space="preserve">Executive Order 13769 (2017) suspended entry from seven Muslim-majority countries. As Osgood notes, it did not cover the most populous ones, though India, which he names, is not Muslim-majority. The Supreme Court upheld the third version in</w:t>
      </w:r>
      <w:r>
        <w:rPr>
          <w:i/>
          <w:iCs/>
        </w:rPr>
        <w:t xml:space="preserve">Trump v. Hawaii</w:t>
      </w:r>
      <w:r>
        <w:t xml:space="preserve">, 585 U.S. 667 (2018); President Biden revoked it in 2021, and new restrictions were imposed in June 2025 and expanded in January 2026.</w:t>
      </w:r>
    </w:p>
    <w:p>
      <w:pPr>
        <w:pStyle w:val="Heading2"/>
        <w:spacing w:after="120" w:before="240"/>
      </w:pPr>
      <w:r>
        <w:rPr>
          <w:b/>
          <w:bCs/>
        </w:rPr>
        <w:t xml:space="preserve">Developments to Know</w:t>
      </w:r>
    </w:p>
    <w:p>
      <w:pPr>
        <w:pStyle w:val="ListParagraph"/>
        <w:numPr>
          <w:ilvl w:val="0"/>
          <w:numId w:val="1"/>
        </w:numPr>
        <w:spacing w:after="80"/>
      </w:pPr>
      <w:r>
        <w:rPr>
          <w:b/>
          <w:bCs/>
        </w:rPr>
        <w:t xml:space="preserve">Judges' hiring boycotts (2022–2024).</w:t>
      </w:r>
      <w:r>
        <w:t xml:space="preserve">In September 2022, Fifth Circuit Judge James Ho announced he would no longer hire Yale Law clerks, and Eleventh Circuit Judge Elizabeth Branch joined him. In May 2024, thirteen federal judges said they would not hire Columbia students. Misconduct complaints over the Columbia boycott were dismissed in September 2024.</w:t>
      </w:r>
    </w:p>
    <w:p>
      <w:pPr>
        <w:pStyle w:val="ListParagraph"/>
        <w:numPr>
          <w:ilvl w:val="0"/>
          <w:numId w:val="1"/>
        </w:numPr>
        <w:spacing w:after="80"/>
      </w:pPr>
      <w:r>
        <w:rPr>
          <w:b/>
          <w:bCs/>
        </w:rPr>
        <w:t xml:space="preserve">&lt;em&gt;Counterman v. Colorado&lt;/em&gt;, 600 U.S. 66 (2023).</w:t>
      </w:r>
      <w:r>
        <w:t xml:space="preserve">True threats require proof that the speaker at least recklessly disregarded the threatening nature of the statements.</w:t>
      </w:r>
    </w:p>
    <w:p>
      <w:pPr>
        <w:pStyle w:val="ListParagraph"/>
        <w:numPr>
          <w:ilvl w:val="0"/>
          <w:numId w:val="1"/>
        </w:numPr>
        <w:spacing w:after="80"/>
      </w:pPr>
      <w:r>
        <w:rPr>
          <w:b/>
          <w:bCs/>
        </w:rPr>
        <w:t xml:space="preserve">ABA Standard 208 (February 5, 2024).</w:t>
      </w:r>
      <w:r>
        <w:t xml:space="preserve">The House of Delegates concurred in the free expression standard, prompted in part by the Yale and Stanford incidents.</w:t>
      </w:r>
    </w:p>
    <w:p>
      <w:pPr>
        <w:pStyle w:val="ListParagraph"/>
        <w:numPr>
          <w:ilvl w:val="0"/>
          <w:numId w:val="1"/>
        </w:numPr>
        <w:spacing w:after="80"/>
      </w:pPr>
      <w:r>
        <w:rPr>
          <w:b/>
          <w:bCs/>
        </w:rPr>
        <w:t xml:space="preserve">Post-October 7 controversies (2023–2024).</w:t>
      </w:r>
      <w:r>
        <w:t xml:space="preserve">Title VI investigations followed reports of antisemitism. In November 2023, large law firms warned law deans to address antisemitic harassment, and at least one firm rescinded a student's offer over a statement about the attack. In June 2024, the</w:t>
      </w:r>
      <w:r>
        <w:rPr>
          <w:i/>
          <w:iCs/>
        </w:rPr>
        <w:t xml:space="preserve">Columbia Law Review</w:t>
      </w:r>
      <w:r>
        <w:t xml:space="preserve">'s board briefly took its website offline after the review published an article on the Nakba. On April 9, 2024, a student's attempt to give a pro-Palestinian speech at a dinner at the home of Dean Chemerinsky and Professor Catherine Fisk led to a confrontation and a university civil rights investigation.</w:t>
      </w:r>
    </w:p>
    <w:p>
      <w:pPr>
        <w:pStyle w:val="ListParagraph"/>
        <w:numPr>
          <w:ilvl w:val="0"/>
          <w:numId w:val="1"/>
        </w:numPr>
        <w:spacing w:after="80"/>
      </w:pPr>
      <w:r>
        <w:rPr>
          <w:b/>
          <w:bCs/>
        </w:rPr>
        <w:t xml:space="preserve">Institutional neutrality (2024–2026).</w:t>
      </w:r>
      <w:r>
        <w:t xml:space="preserve">Harvard, Stanford, Penn, Yale, and Washington University (December 2024) adopted neutrality positions; FIRE counted 50 adopters as of July 2026. Ohio's SB 1 (March 28, 2025) requires neutrality policies at public universities. The AAUP (January 2025) calls neutrality neither necessary for academic freedom nor categorically incompatible with it.</w:t>
      </w:r>
    </w:p>
    <w:p>
      <w:pPr>
        <w:pStyle w:val="ListParagraph"/>
        <w:numPr>
          <w:ilvl w:val="0"/>
          <w:numId w:val="1"/>
        </w:numPr>
        <w:spacing w:after="80"/>
      </w:pPr>
      <w:r>
        <w:rPr>
          <w:b/>
          <w:bCs/>
        </w:rPr>
        <w:t xml:space="preserve">Federal pressure (2025).</w:t>
      </w:r>
      <w:r>
        <w:t xml:space="preserve">Agencies froze or conditioned research funding at several universities, leading to settlements and litigation, some of which courts found violated the First Amendment, and moved against some noncitizen student protesters. In October 2025, WashU said it would not sign the administration's proposed higher education compact.</w:t>
      </w:r>
    </w:p>
    <w:p>
      <w:pPr>
        <w:pStyle w:val="ListParagraph"/>
        <w:numPr>
          <w:ilvl w:val="0"/>
          <w:numId w:val="1"/>
        </w:numPr>
        <w:spacing w:after="80"/>
      </w:pPr>
      <w:r>
        <w:rPr>
          <w:b/>
          <w:bCs/>
        </w:rPr>
        <w:t xml:space="preserve">Texas SB 2972 (2025).</w:t>
      </w:r>
      <w:r>
        <w:t xml:space="preserve">In October 2025, a federal court preliminarily enjoined the law's overnight ban on expressive activity and end-of-term restrictions at University of Texas System campuses; the UT System appealed.</w:t>
      </w:r>
    </w:p>
    <w:p>
      <w:pPr>
        <w:pStyle w:val="ListParagraph"/>
        <w:numPr>
          <w:ilvl w:val="0"/>
          <w:numId w:val="1"/>
        </w:numPr>
        <w:spacing w:after="80"/>
      </w:pPr>
      <w:r>
        <w:rPr>
          <w:b/>
          <w:bCs/>
        </w:rPr>
        <w:t xml:space="preserve">Faculty speech after the Charlie Kirk killing (2025–2026).</w:t>
      </w:r>
      <w:r>
        <w:t xml:space="preserve">After Kirk's assassination at Utah Valley University in September 2025, dozens of faculty and staff were fired or disciplined over comments about his death, prompting</w:t>
      </w:r>
      <w:r>
        <w:rPr>
          <w:i/>
          <w:iCs/>
        </w:rPr>
        <w:t xml:space="preserve">Pickering</w:t>
      </w:r>
      <w:r>
        <w:t xml:space="preserve">-based lawsuits and several settlements.</w:t>
      </w:r>
    </w:p>
    <w:p>
      <w:pPr>
        <w:pStyle w:val="ListParagraph"/>
        <w:numPr>
          <w:ilvl w:val="0"/>
          <w:numId w:val="1"/>
        </w:numPr>
        <w:spacing w:after="80"/>
      </w:pPr>
      <w:r>
        <w:rPr>
          <w:b/>
          <w:bCs/>
        </w:rPr>
        <w:t xml:space="preserve">ABA Standard 206 repeal (September 8, 2026).</w:t>
      </w:r>
      <w:r>
        <w:t xml:space="preserve">After suspending the standard in February 2025, and after the Texas and Florida supreme courts ended exclusive reliance on ABA accreditation in January 2026, the ABA's accrediting council voted 10–6 to repeal its diversity and inclusion requirement. Supporters said repeal preserves national accreditation; opponents said it abandons a commitment to serving diverse communities.</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Open Sans" w:cs="Open Sans" w:eastAsia="Open Sans" w:hAnsi="Open Sans"/>
        <w:color w:val="999999"/>
        <w:sz w:val="16"/>
        <w:szCs w:val="16"/>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Montserrat" w:cs="Montserrat" w:eastAsia="Montserrat" w:hAnsi="Montserrat"/>
        <w:color w:val="999999"/>
        <w:sz w:val="16"/>
        <w:szCs w:val="16"/>
      </w:rPr>
      <w:t xml:space="preserve">TalksOnLaw — Written Materials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Open Sans" w:cs="Open Sans" w:eastAsia="Open Sans" w:hAnsi="Open Sans"/>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pPr>
    <w:rPr>
      <w:rFonts w:ascii="Montserrat" w:cs="Montserrat" w:eastAsia="Montserrat" w:hAnsi="Montserrat"/>
      <w:b/>
      <w:bCs/>
      <w:sz w:val="36"/>
      <w:szCs w:val="36"/>
    </w:rPr>
  </w:style>
  <w:style w:type="paragraph" w:styleId="Heading2">
    <w:name w:val="Heading 2"/>
    <w:basedOn w:val="Normal"/>
    <w:next w:val="Normal"/>
    <w:qFormat/>
    <w:pPr>
      <w:spacing w:after="120" w:before="200"/>
    </w:pPr>
    <w:rPr>
      <w:rFonts w:ascii="Montserrat" w:cs="Montserrat" w:eastAsia="Montserrat" w:hAnsi="Montserrat"/>
      <w:b/>
      <w:bCs/>
      <w:sz w:val="30"/>
      <w:szCs w:val="30"/>
    </w:rPr>
  </w:style>
  <w:style w:type="paragraph" w:styleId="Heading3">
    <w:name w:val="Heading 3"/>
    <w:basedOn w:val="Normal"/>
    <w:next w:val="Normal"/>
    <w:qFormat/>
    <w:pPr>
      <w:spacing w:after="100" w:before="160"/>
    </w:pPr>
    <w:rPr>
      <w:rFonts w:ascii="Montserrat" w:cs="Montserrat" w:eastAsia="Montserrat" w:hAnsi="Montserrat"/>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2026-09-28T18:13:15.347Z</dcterms:created>
  <dcterms:modified xsi:type="dcterms:W3CDTF">2026-09-28T18:13:15.347Z</dcterms:modified>
</cp:coreProperties>
</file>

<file path=docProps/custom.xml><?xml version="1.0" encoding="utf-8"?>
<Properties xmlns="http://schemas.openxmlformats.org/officeDocument/2006/custom-properties" xmlns:vt="http://schemas.openxmlformats.org/officeDocument/2006/docPropsVTypes"/>
</file>