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Recusal &amp; the Bounds of Judicial Bias</w:t>
      </w:r>
    </w:p>
    <w:p>
      <w:pPr>
        <w:spacing w:after="200"/>
      </w:pPr>
      <w:r>
        <w:rPr>
          <w:rFonts w:ascii="Montserrat" w:cs="Montserrat" w:eastAsia="Montserrat" w:hAnsi="Montserrat"/>
          <w:b/>
          <w:bCs/>
          <w:color w:val="E87722"/>
          <w:sz w:val="24"/>
          <w:szCs w:val="24"/>
        </w:rPr>
        <w:t xml:space="preserve">Alicia Bannon</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when judges must disqualify themselves from cases and how recusal rules protect both litigants and public confidence in the courts. Topics include the objective "impartiality might reasonably be questioned" standard; the federal recusal statute and the ABA Model Code of Judicial Conduct; the due process floor set by</w:t>
      </w:r>
      <w:r>
        <w:rPr>
          <w:i/>
          <w:iCs/>
        </w:rPr>
        <w:t xml:space="preserve">Caperton v. A.T. Massey Coal Co.</w:t>
      </w:r>
      <w:r>
        <w:t xml:space="preserve">,</w:t>
      </w:r>
      <w:r>
        <w:rPr>
          <w:i/>
          <w:iCs/>
        </w:rPr>
        <w:t xml:space="preserve">Williams v. Pennsylvania</w:t>
      </w:r>
      <w:r>
        <w:t xml:space="preserve">, and</w:t>
      </w:r>
      <w:r>
        <w:rPr>
          <w:i/>
          <w:iCs/>
        </w:rPr>
        <w:t xml:space="preserve">Rippo v. Baker</w:t>
      </w:r>
      <w:r>
        <w:t xml:space="preserve">; financial interests and conflict checking; family members' interests; personal relationships, appointments, and extrajudicial statements; campaign contributions in states that elect judges; waiver and the rule of necessity; judicial discipline; the Supreme Court's 2023 Code of Conduct and the debate over enforcement; and lawyers' own ethical duties when recusal questions arise. The program was recorded in the fall of 2022. These materials state the law as of October 2026.</w:t>
      </w:r>
    </w:p>
    <w:p>
      <w:pPr>
        <w:pStyle w:val="Heading2"/>
        <w:spacing w:after="120" w:before="240"/>
      </w:pPr>
      <w:r>
        <w:rPr>
          <w:b/>
          <w:bCs/>
        </w:rPr>
        <w:t xml:space="preserve">Learning Objectives</w:t>
      </w:r>
    </w:p>
    <w:p>
      <w:pPr>
        <w:pStyle w:val="ListParagraph"/>
        <w:numPr>
          <w:ilvl w:val="0"/>
          <w:numId w:val="1"/>
        </w:numPr>
        <w:spacing w:after="80"/>
      </w:pPr>
      <w:r>
        <w:t xml:space="preserve">State the objective standard for judicial disqualification under 28 U.S.C. &amp;sect; 455 and ABA Model Code Rule 2.11, and identify the circumstances in which recusal is mandatory.</w:t>
      </w:r>
    </w:p>
    <w:p>
      <w:pPr>
        <w:pStyle w:val="ListParagraph"/>
        <w:numPr>
          <w:ilvl w:val="0"/>
          <w:numId w:val="1"/>
        </w:numPr>
        <w:spacing w:after="80"/>
      </w:pPr>
      <w:r>
        <w:t xml:space="preserve">Explain the due process standard for recusal established in</w:t>
      </w:r>
      <w:r>
        <w:rPr>
          <w:i/>
          <w:iCs/>
        </w:rPr>
        <w:t xml:space="preserve">Caperton</w:t>
      </w:r>
      <w:r>
        <w:t xml:space="preserve">and applied in</w:t>
      </w:r>
      <w:r>
        <w:rPr>
          <w:i/>
          <w:iCs/>
        </w:rPr>
        <w:t xml:space="preserve">Williams v. Pennsylvania</w:t>
      </w:r>
      <w:r>
        <w:t xml:space="preserve">and</w:t>
      </w:r>
      <w:r>
        <w:rPr>
          <w:i/>
          <w:iCs/>
        </w:rPr>
        <w:t xml:space="preserve">Rippo v. Baker</w:t>
      </w:r>
      <w:r>
        <w:t xml:space="preserve">, and distinguish it from statutory and code standards.</w:t>
      </w:r>
    </w:p>
    <w:p>
      <w:pPr>
        <w:pStyle w:val="ListParagraph"/>
        <w:numPr>
          <w:ilvl w:val="0"/>
          <w:numId w:val="1"/>
        </w:numPr>
        <w:spacing w:after="80"/>
      </w:pPr>
      <w:r>
        <w:t xml:space="preserve">Describe how financial interests, family members' interests, personal relationships, and campaign support can create grounds for disqualification.</w:t>
      </w:r>
    </w:p>
    <w:p>
      <w:pPr>
        <w:pStyle w:val="ListParagraph"/>
        <w:numPr>
          <w:ilvl w:val="0"/>
          <w:numId w:val="1"/>
        </w:numPr>
        <w:spacing w:after="80"/>
      </w:pPr>
      <w:r>
        <w:t xml:space="preserve">Apply the rules on disclosure, waiver (remittal), and the rule of necessity.</w:t>
      </w:r>
    </w:p>
    <w:p>
      <w:pPr>
        <w:pStyle w:val="ListParagraph"/>
        <w:numPr>
          <w:ilvl w:val="0"/>
          <w:numId w:val="1"/>
        </w:numPr>
        <w:spacing w:after="80"/>
      </w:pPr>
      <w:r>
        <w:t xml:space="preserve">Summarize how judicial misconduct is addressed for state judges, lower federal judges, and Supreme Court justices, including the 2023 Supreme Court Code of Conduct.</w:t>
      </w:r>
    </w:p>
    <w:p>
      <w:pPr>
        <w:pStyle w:val="ListParagraph"/>
        <w:numPr>
          <w:ilvl w:val="0"/>
          <w:numId w:val="1"/>
        </w:numPr>
        <w:spacing w:after="80"/>
      </w:pPr>
      <w:r>
        <w:t xml:space="preserve">Identify a lawyer's ethical duties in raising, litigating, and reporting judicial conflicts.</w:t>
      </w:r>
    </w:p>
    <w:p>
      <w:pPr>
        <w:pStyle w:val="Heading2"/>
        <w:spacing w:after="120" w:before="240"/>
      </w:pPr>
      <w:r>
        <w:rPr>
          <w:b/>
          <w:bCs/>
        </w:rPr>
        <w:t xml:space="preserve">Sources of Recusal Law</w:t>
      </w:r>
    </w:p>
    <w:p>
      <w:pPr>
        <w:spacing w:after="160"/>
      </w:pPr>
      <w:r>
        <w:t xml:space="preserve">Recusal rules come from several overlapping sources. For federal judges, the principal statute is 28 U.S.C. &amp;sect; 455. Section 455(a) requires any "justice, judge, or magistrate judge of the United States" to disqualify himself or herself "in any proceeding in which his impartiality might reasonably be questioned." Section 455(b) lists specific mandatory grounds: personal bias or prejudice concerning a party or personal knowledge of disputed evidentiary facts; prior service as a lawyer in the matter (or a former partner's service during the association); certain prior government service; a financial interest, held personally, as a fiduciary, or by a spouse or minor child in the household; and situations in which the judge, the judge's spouse, or a person within the third degree of relationship to either is a party, a lawyer, a likely material witness, or is "known by the judge to have an interest that could be substantially affected by the outcome." A separate statute, 28 U.S.C. &amp;sect; 144, permits a party in district court to file a "timely and sufficient affidavit" of personal bias or prejudice, after which another judge is assigned.</w:t>
      </w:r>
    </w:p>
    <w:p>
      <w:pPr>
        <w:spacing w:after="160"/>
      </w:pPr>
      <w:r>
        <w:t xml:space="preserve">The Code of Conduct for United States Judges, adopted by the Judicial Conference, applies to lower federal judges and includes a parallel disqualification canon (Canon 3C). For state judges, every state has adopted a code of judicial conduct, most of them based on the ABA Model Code of Judicial Conduct. Model Rule 2.11(A) provides that a judge "shall disqualify himself or herself in any proceeding in which the judge's impartiality might reasonably be questioned," and lists specific circumstances, including personal bias, family relationships, economic interests, certain campaign contributions, and public statements that commit or appear to commit the judge to a result.</w:t>
      </w:r>
    </w:p>
    <w:p>
      <w:pPr>
        <w:spacing w:after="160"/>
      </w:pPr>
      <w:r>
        <w:t xml:space="preserve">The standard is objective. As the guest explains, the question is not whether the judge believes he or she can be fair, but whether a reasonable, informed observer would doubt the judge's impartiality. In</w:t>
      </w:r>
      <w:r>
        <w:rPr>
          <w:i/>
          <w:iCs/>
        </w:rPr>
        <w:t xml:space="preserve">Liteky v. United States</w:t>
      </w:r>
      <w:r>
        <w:t xml:space="preserve">, 510 U.S. 540 (1994), the Supreme Court held that &amp;sect; 455(a) is assessed objectively and that judicial rulings and opinions formed during the proceedings "almost never constitute a valid basis for a bias or partiality motion" unless they display deep-seated favoritism or antagonism. In most federal courts and many states, the challenged judge decides the motion in the first instance. The guest identifies that as a structural weakness, since people are often poor judges of their own biases.</w:t>
      </w:r>
    </w:p>
    <w:p>
      <w:pPr>
        <w:pStyle w:val="Heading2"/>
        <w:spacing w:after="120" w:before="240"/>
      </w:pPr>
      <w:r>
        <w:rPr>
          <w:b/>
          <w:bCs/>
        </w:rPr>
        <w:t xml:space="preserve">The Due Process Floor</w:t>
      </w:r>
    </w:p>
    <w:p>
      <w:pPr>
        <w:spacing w:after="160"/>
      </w:pPr>
      <w:r>
        <w:t xml:space="preserve">The Constitution sets a minimum that applies to every court. Early cases held that a judge may not have a direct, personal, substantial pecuniary interest in the outcome,</w:t>
      </w:r>
      <w:r>
        <w:rPr>
          <w:i/>
          <w:iCs/>
        </w:rPr>
        <w:t xml:space="preserve">Tumey v. Ohio</w:t>
      </w:r>
      <w:r>
        <w:t xml:space="preserve">, 273 U.S. 510 (1927), and that a judge may not try a contempt charge arising from a proceeding in which the judge acted as a one-person grand jury,</w:t>
      </w:r>
      <w:r>
        <w:rPr>
          <w:i/>
          <w:iCs/>
        </w:rPr>
        <w:t xml:space="preserve">In re Murchison</w:t>
      </w:r>
      <w:r>
        <w:t xml:space="preserve">, 349 U.S. 133 (1955).</w:t>
      </w:r>
    </w:p>
    <w:p>
      <w:pPr>
        <w:spacing w:after="160"/>
      </w:pPr>
      <w:r>
        <w:t xml:space="preserve">In</w:t>
      </w:r>
      <w:r>
        <w:rPr>
          <w:i/>
          <w:iCs/>
        </w:rPr>
        <w:t xml:space="preserve">Caperton v. A.T. Massey Coal Co.</w:t>
      </w:r>
      <w:r>
        <w:t xml:space="preserve">, 556 U.S. 868 (2009), a West Virginia jury returned a $50 million verdict against Massey. While Massey prepared its appeal, its chairman and chief executive, Don Blankenship, spent about $3 million supporting Brent Benjamin's campaign for the state's high court. That was more than the total spent by all of Benjamin's other supporters and his own campaign committee. Benjamin won, denied motions to recuse, and joined a 3&amp;ndash;2 majority reversing the verdict. The Supreme Court, in a 5&amp;ndash;4 opinion by Justice Kennedy, held that due process required recusal. It explained that "there is a serious risk of actual bias&amp;mdash;based on objective and reasonable perceptions&amp;mdash;when a person with a personal stake in a particular case had a significant and disproportionate influence in placing the judge on the case by raising funds or directing the judge's election campaign when the case was pending or imminent." The Court emphasized the extraordinary facts: the relative size of the spending, its effect on the outcome, and its timing. Chief Justice Roberts, dissenting, listed forty questions the new standard left open and warned of a flood of recusal motions. As the guest notes, the decision has been invoked far less than the dissent predicted.</w:t>
      </w:r>
    </w:p>
    <w:p>
      <w:pPr>
        <w:spacing w:after="160"/>
      </w:pPr>
      <w:r>
        <w:t xml:space="preserve">In</w:t>
      </w:r>
      <w:r>
        <w:rPr>
          <w:i/>
          <w:iCs/>
        </w:rPr>
        <w:t xml:space="preserve">Williams v. Pennsylvania</w:t>
      </w:r>
      <w:r>
        <w:t xml:space="preserve">, 579 U.S. 1 (2016), Ronald Castille, as Philadelphia's district attorney, had approved seeking the death penalty against Terrance Williams. Decades later, as chief justice of the Pennsylvania Supreme Court, he denied Williams's recusal motion and joined the decision reinstating the death sentence. The Court held 5&amp;ndash;3 that "there is an impermissible risk of actual bias when a judge earlier had significant, personal involvement as a prosecutor in a critical decision regarding the defendant's case." It further held that the error is structural: it does not matter that the judge's vote was not decisive, because participation can influence colleagues' deliberations. In</w:t>
      </w:r>
      <w:r>
        <w:rPr>
          <w:i/>
          <w:iCs/>
        </w:rPr>
        <w:t xml:space="preserve">Rippo v. Baker</w:t>
      </w:r>
      <w:r>
        <w:t xml:space="preserve">, 580 U.S. 285 (2017) (per curiam), the Court reaffirmed that recusal may be required even without proof of actual bias when, objectively, "the probability of actual bias on the part of the judge or decisionmaker is too high to be constitutionally tolerable."</w:t>
      </w:r>
    </w:p>
    <w:p>
      <w:pPr>
        <w:spacing w:after="160"/>
      </w:pPr>
      <w:r>
        <w:t xml:space="preserve">The guest's description of</w:t>
      </w:r>
      <w:r>
        <w:rPr>
          <w:i/>
          <w:iCs/>
        </w:rPr>
        <w:t xml:space="preserve">Caperton</w:t>
      </w:r>
      <w:r>
        <w:t xml:space="preserve">as "a floor, not a ceiling" reflects the Court's own observation that states may adopt recusal standards more rigorous than due process requires, and that most have done so through their codes of judicial conduct.</w:t>
      </w:r>
    </w:p>
    <w:p>
      <w:pPr>
        <w:pStyle w:val="Heading2"/>
        <w:spacing w:after="120" w:before="240"/>
      </w:pPr>
      <w:r>
        <w:rPr>
          <w:b/>
          <w:bCs/>
        </w:rPr>
        <w:t xml:space="preserve">Financial Interests and Conflict Checking</w:t>
      </w:r>
    </w:p>
    <w:p>
      <w:pPr>
        <w:spacing w:after="160"/>
      </w:pPr>
      <w:r>
        <w:t xml:space="preserve">Financial conflicts are bright-line. Under &amp;sect; 455(d)(4), a "financial interest" means "ownership of a legal or equitable interest, however small," subject to limited exceptions (for example, holdings in a mutual fund the judge does not manage). Section 455(c) requires a judge to "inform himself about his personal and fiduciary financial interests" and make a reasonable effort to learn those of a spouse and minor children. Grounds for disqualification under &amp;sect; 455(b) may not be waived by the parties, &amp;sect; 455(e). Under &amp;sect; 455(f), if a financial interest is discovered after substantial judicial time has been spent, the judge may cure it by divesting the interest.</w:t>
      </w:r>
    </w:p>
    <w:p>
      <w:pPr>
        <w:spacing w:after="160"/>
      </w:pPr>
      <w:r>
        <w:t xml:space="preserve">In September 2021, the</w:t>
      </w:r>
      <w:r>
        <w:rPr>
          <w:i/>
          <w:iCs/>
        </w:rPr>
        <w:t xml:space="preserve">Wall Street Journal</w:t>
      </w:r>
      <w:r>
        <w:t xml:space="preserve">reported that 131 federal judges had heard 685 cases from 2010 to 2018 involving companies in which they or their families held stock. The Administrative Office of the U.S. Courts attributed most of the lapses to mistakes and flawed conflict-check processes. Congress responded with the Courthouse Ethics and Transparency Act, Pub. L. No. 117-125 (May 13, 2022). It requires judges to file periodic reports of securities transactions over $1,000 and requires a searchable public online database of judicial financial disclosure reports, which launched in November 2022.</w:t>
      </w:r>
    </w:p>
    <w:p>
      <w:pPr>
        <w:spacing w:after="160"/>
      </w:pPr>
      <w:r>
        <w:t xml:space="preserve">Conflict checking depends on accurate party information. Federal Rule of Civil Procedure 7.1 requires nongovernmental corporate parties to disclose parent corporations and any publicly held corporation owning 10 percent or more of their stock; the Supreme Court has a parallel rule. In February 2026, the Supreme Court announced conflict-check software that compares party and attorney information against lists maintained by each justice's chambers. Revised rules, effective March 16, 2026, require filers to provide additional information, including stock ticker symbols. The change followed a late recusal in January 2026, when Justice Alito withdrew from</w:t>
      </w:r>
      <w:r>
        <w:rPr>
          <w:i/>
          <w:iCs/>
        </w:rPr>
        <w:t xml:space="preserve">Chevron USA v. Plaquemines Parish</w:t>
      </w:r>
      <w:r>
        <w:t xml:space="preserve">shortly before argument because of a stockholding in the parent of a company that had been a party in the lower courts. In September 2026, Justice Alito also withdrew, without stating a reason, from</w:t>
      </w:r>
      <w:r>
        <w:rPr>
          <w:i/>
          <w:iCs/>
        </w:rPr>
        <w:t xml:space="preserve">Suncor Energy v. Boulder County</w:t>
      </w:r>
      <w:r>
        <w:t xml:space="preserve">, after environmental groups questioned his energy-sector investments.</w:t>
      </w:r>
    </w:p>
    <w:p>
      <w:pPr>
        <w:pStyle w:val="Heading2"/>
        <w:spacing w:after="120" w:before="240"/>
      </w:pPr>
      <w:r>
        <w:rPr>
          <w:b/>
          <w:bCs/>
        </w:rPr>
        <w:t xml:space="preserve">Family Members' Interests</w:t>
      </w:r>
    </w:p>
    <w:p>
      <w:pPr>
        <w:spacing w:after="160"/>
      </w:pPr>
      <w:r>
        <w:t xml:space="preserve">Section 455(b)(5)(iii) requires recusal when a judge's spouse is "known by the judge to have an interest that could be substantially affected by the outcome of the proceeding," and &amp;sect; 455(b)(4) covers a spouse's financial interests. The Supreme Court's 2023 code includes similar provisions. Application to a spouse's professional or political activity is contested. In January 2022, Justice Thomas was the only justice noted as voting to grant former President Trump's application to block release of White House records to the House January 6 committee in</w:t>
      </w:r>
      <w:r>
        <w:rPr>
          <w:i/>
          <w:iCs/>
        </w:rPr>
        <w:t xml:space="preserve">Trump v. Thompson</w:t>
      </w:r>
      <w:r>
        <w:t xml:space="preserve">. Reports in March 2022 disclosed that his wife, Virginia Thomas, had texted White House Chief of Staff Mark Meadows urging efforts to overturn the 2020 election. The guest argues that the case implicated Mrs. Thomas's interests, that judges have a duty of inquiry about family members' interests, and that Justice Thomas should at least have explained publicly what he knew. In September 2022, Mrs. Thomas told the committee that her husband was unaware of her texts. Others have argued that the records case did not concern her texts, that a spouse's independent views and activity do not create a legal "interest" within the statute, and that requiring recusal on that basis would penalize spouses' careers.</w:t>
      </w:r>
    </w:p>
    <w:p>
      <w:pPr>
        <w:spacing w:after="160"/>
      </w:pPr>
      <w:r>
        <w:t xml:space="preserve">A related dispute arose in May 2024, when Justice Alito declined requests by Senate Democrats to recuse from January 6 and Trump immunity cases after reports that an upside-down American flag (2021) and an "Appeal to Heaven" flag (2023) had flown at his homes. In letters to members of Congress, he said his wife had flown the flags without his involvement, and that a reasonable person not motivated by "political or ideological considerations" would conclude that recusal was not required. Critics said the flags created an appearance of bias.</w:t>
      </w:r>
    </w:p>
    <w:p>
      <w:pPr>
        <w:pStyle w:val="Heading2"/>
        <w:spacing w:after="120" w:before="240"/>
      </w:pPr>
      <w:r>
        <w:rPr>
          <w:b/>
          <w:bCs/>
        </w:rPr>
        <w:t xml:space="preserve">Relationships, Appointments, and Extrajudicial Statements</w:t>
      </w:r>
    </w:p>
    <w:p>
      <w:pPr>
        <w:spacing w:after="160"/>
      </w:pPr>
      <w:r>
        <w:t xml:space="preserve">Personal relationships with lawyers or parties may require disclosure or disqualification depending on their closeness. ABA Formal Opinion 488 (2019) distinguishes acquaintances (generally no disqualification), friendships (case by case, often warranting disclosure), and close personal relationships (generally requiring disqualification, subject to remittal in some cases). Neither &amp;sect; 455 nor the codes list appointment by a litigant, or a judge's vote for or against a litigant, as a ground for disqualification, and the guest knows of no case law requiring recusal on either basis alone. As she explains, a claim would turn on specific facts under the objective standard, such as promises or assurances made during selection. In</w:t>
      </w:r>
      <w:r>
        <w:rPr>
          <w:i/>
          <w:iCs/>
        </w:rPr>
        <w:t xml:space="preserve">Cheney v. United States District Court</w:t>
      </w:r>
      <w:r>
        <w:t xml:space="preserve">, 541 U.S. 913 (2004), Justice Scalia declined to recuse from a case involving Vice President Cheney after a hunting trip with him. He reasoned in part that recusal on the Supreme Court cannot be cured by substitution and that the justices have a duty to sit when not disqualified.</w:t>
      </w:r>
    </w:p>
    <w:p>
      <w:pPr>
        <w:spacing w:after="160"/>
      </w:pPr>
      <w:r>
        <w:t xml:space="preserve">Public statements present a separate concern. Model Rule 2.11(A)(5) requires disqualification when a judge, while a judge or candidate, has made a public statement outside court proceedings that "commits or appears to commit the judge to reach a particular result or rule in a particular way." Rules 2.10 and 4.1 restrict public comment on pending cases and political activity. Because</w:t>
      </w:r>
      <w:r>
        <w:rPr>
          <w:i/>
          <w:iCs/>
        </w:rPr>
        <w:t xml:space="preserve">Republican Party of Minnesota v. White</w:t>
      </w:r>
      <w:r>
        <w:t xml:space="preserve">, 536 U.S. 765 (2002), struck down a rule barring judicial candidates from announcing their views on disputed legal and political issues, disqualification rules such as Rule 2.11(A)(5) play an important role in addressing statements that cross the line into commitments. The guest cites Justice Ginsburg's July 2016 criticism of candidate Trump, which she said days later was "ill-advised" and which she regretted, as an example of comments judges should avoid. The 2023 Supreme Court code advises justices not to speak at events sponsored by political parties or campaigns and not to act as speakers, guests of honor, or featured participants at fundraising events.</w:t>
      </w:r>
    </w:p>
    <w:p>
      <w:pPr>
        <w:pStyle w:val="Heading2"/>
        <w:spacing w:after="120" w:before="240"/>
      </w:pPr>
      <w:r>
        <w:rPr>
          <w:b/>
          <w:bCs/>
        </w:rPr>
        <w:t xml:space="preserve">Judicial Elections and Campaign Money</w:t>
      </w:r>
    </w:p>
    <w:p>
      <w:pPr>
        <w:spacing w:after="160"/>
      </w:pPr>
      <w:r>
        <w:t xml:space="preserve">According to the Brennan Center, 38 states use elections to select judges for their highest courts. In</w:t>
      </w:r>
      <w:r>
        <w:rPr>
          <w:i/>
          <w:iCs/>
        </w:rPr>
        <w:t xml:space="preserve">Williams-Yulee v. Florida Bar</w:t>
      </w:r>
      <w:r>
        <w:t xml:space="preserve">, 575 U.S. 433 (2015), the Court upheld, 5&amp;ndash;4, a rule barring judicial candidates from personally soliciting campaign contributions, recognizing that "[j]udges are not politicians, even when they come to the bench by way of the ballot," and that states have a compelling interest in public confidence in judicial integrity. Model Rule 2.11(A)(4) offers states a provision requiring disqualification when a party, a party's lawyer, or the lawyer's firm has made aggregate contributions to the judge's campaign above an amount, and within a period, that each state chooses. Relatively few states have adopted specific contribution thresholds.</w:t>
      </w:r>
    </w:p>
    <w:p>
      <w:pPr>
        <w:spacing w:after="160"/>
      </w:pPr>
      <w:r>
        <w:t xml:space="preserve">Spending continues to rise. The April 2025 Wisconsin Supreme Court race drew more than $100 million in total spending, according to the Brennan Center, the most ever spent on a U.S. court race. In June 2026, the Wisconsin Supreme Court declined to adopt a petition from former circuit judges that would have directed judges to consider recusal when a contribution raises a reasonable question about impartiality, and instead created a committee to study recusal and related issues. Supporters of contribution-based rules say they protect litigants and public trust. Critics warn that they can be manipulated through strategic spending and can leave courts short-handed.</w:t>
      </w:r>
    </w:p>
    <w:p>
      <w:pPr>
        <w:pStyle w:val="Heading2"/>
        <w:spacing w:after="120" w:before="240"/>
      </w:pPr>
      <w:r>
        <w:rPr>
          <w:b/>
          <w:bCs/>
        </w:rPr>
        <w:t xml:space="preserve">Disclosure, Waiver, and the Rule of Necessity</w:t>
      </w:r>
    </w:p>
    <w:p>
      <w:pPr>
        <w:spacing w:after="160"/>
      </w:pPr>
      <w:r>
        <w:t xml:space="preserve">A judge who becomes aware of a potential conflict during a case should disclose it. Under 28 U.S.C. &amp;sect; 455(e), parties may waive a ground arising only under &amp;sect; 455(a) "provided it is preceded by a full disclosure on the record of the basis for disqualification," but they may not waive the specific grounds in &amp;sect; 455(b). Model Rule 2.11(C) permits remittal of any ground except personal bias, but only if the parties and lawyers agree, "without participation by the judge or court personnel," that the judge should not be disqualified, and the agreement is incorporated into the record.</w:t>
      </w:r>
    </w:p>
    <w:p>
      <w:pPr>
        <w:spacing w:after="160"/>
      </w:pPr>
      <w:r>
        <w:t xml:space="preserve">The rule of necessity allows a judge to hear a case when no other judge is available. In</w:t>
      </w:r>
      <w:r>
        <w:rPr>
          <w:i/>
          <w:iCs/>
        </w:rPr>
        <w:t xml:space="preserve">United States v. Will</w:t>
      </w:r>
      <w:r>
        <w:t xml:space="preserve">, 449 U.S. 200 (1980), the Court applied it to federal judges' challenge to statutes affecting their own salaries, since every federal judge shared the interest. The 2023 Supreme Court code recognizes "the duty to sit and that the time-honored rule of necessity may override the rule of disqualification." Because no substitute replaces a justice who recuses, a recusal can leave the Court with an even number and the possibility of a tie.</w:t>
      </w:r>
    </w:p>
    <w:p>
      <w:pPr>
        <w:pStyle w:val="Heading2"/>
        <w:spacing w:after="120" w:before="240"/>
      </w:pPr>
      <w:r>
        <w:rPr>
          <w:b/>
          <w:bCs/>
        </w:rPr>
        <w:t xml:space="preserve">Discipline and Enforcement</w:t>
      </w:r>
    </w:p>
    <w:p>
      <w:pPr>
        <w:spacing w:after="160"/>
      </w:pPr>
      <w:r>
        <w:t xml:space="preserve">Under the Judicial Conduct and Disability Act, 28 U.S.C. &amp;sect;&amp;sect; 351&amp;ndash;364, any person may file a complaint alleging that a circuit, district, bankruptcy, or magistrate judge has engaged in conduct "prejudicial to the effective and expeditious administration of the business of the courts." A circuit judicial council may impose sanctions including private or public reprimand and temporary suspension of case assignments, but it may not remove an Article III judge; removal requires impeachment. The Act does not apply to Supreme Court justices. State judicial conduct commissions can, depending on the state, recommend or impose sanctions up to removal. As the guest notes, many state complaints remain confidential unless formal charges are filed.</w:t>
      </w:r>
    </w:p>
    <w:p>
      <w:pPr>
        <w:spacing w:after="160"/>
      </w:pPr>
      <w:r>
        <w:t xml:space="preserve">For the Supreme Court, the November 13, 2023 Code of Conduct states that individual justices decide recusal questions and that its recusal provisions restate the justices' 1993 Statement of Recusal Policy. It contains no enforcement mechanism. Justices file annual financial disclosure reports under the Ethics in Government Act, which the Judicial Conference reviews. In March 2023, the Conference narrowed the "personal hospitality" exemption so that it does not cover transportation that substitutes for commercial travel or stays at commercial properties. After ProPublica's April 2023 reporting on gifts and travel from Harlan Crow, Justice Thomas said he had been advised that such hospitality from close friends without business before the Court was not reportable. In June 2024 he disclosed two 2019 trips that he said had been inadvertently omitted. In January 2025, the Judicial Conference declined requests to refer Justice Thomas and Justice Jackson to the Attorney General over disclosure issues. It noted that both had filed amended reports and that there was "reason to doubt" its authority to make such referrals.</w:t>
      </w:r>
    </w:p>
    <w:p>
      <w:pPr>
        <w:spacing w:after="160"/>
      </w:pPr>
      <w:r>
        <w:t xml:space="preserve">Whether Congress may impose ethics rules on the Court is contested. The Supreme Court Ethics, Recusal, and Transparency Act would require a binding code, a complaint process using panels of lower-court judges, written explanations of recusal decisions, and expanded disclosure. It cleared the Senate Judiciary Committee 11&amp;ndash;10 in July 2023 and was reintroduced in May 2025 as S. 1814 but has not been enacted. Supporters cite Congress's long-standing regulation of judicial disqualification and disclosure. Opponents, including the committee's Republican members, argue that the bill threatens judicial independence and the separation of powers, and some have called it an effort to undermine a conservative majority. In July 2026 budget testimony before a Senate appropriations subcommittee, Justice Kagan said she supports an enforcement mechanism but called its design "a very difficult question" because of "the importance of judicial independence." Justice Barrett said the code is "more than aspirational" and called enforcement "a complex question."</w:t>
      </w:r>
    </w:p>
    <w:p>
      <w:pPr>
        <w:pStyle w:val="Heading2"/>
        <w:spacing w:after="120" w:before="240"/>
      </w:pPr>
      <w:r>
        <w:rPr>
          <w:b/>
          <w:bCs/>
        </w:rPr>
        <w:t xml:space="preserve">Lawyers' Duties When Recusal Is at Issue</w:t>
      </w:r>
    </w:p>
    <w:p>
      <w:pPr>
        <w:spacing w:after="160"/>
      </w:pPr>
      <w:r>
        <w:t xml:space="preserve">Recusal is also a matter of lawyers' ethics. Counsel should check for conflicts early and raise them promptly, since courts may treat a recusal objection as waived or untimely when it is held back for tactical advantage. Accurate corporate disclosure statements are essential to automated conflict checks. A lawyer who seeks recusal must have a good-faith basis: Model Rule of Professional Conduct 8.2(a) prohibits statements about a judge's integrity that the lawyer knows to be false or makes with reckless disregard for their truth, and Rule 3.1 bars frivolous motions. Rule 3.5 prohibits seeking to influence a judge by improper means and most ex parte communications. Rule 8.4(f) forbids knowingly assisting a judge in conduct that violates the rules of judicial conduct. Under Rule 8.3(b), a lawyer who knows that a judge has committed a violation that "raises a substantial question as to the judge's fitness for office" must inform the appropriate authority. As the guest notes, the reluctance of lawyers to accuse a judge of apparent bias is one reason recusal motions are relatively rare. The rules give lawyers both the obligation and the protection to raise genuine concerns in a measured, factual way.</w:t>
      </w:r>
    </w:p>
    <w:p>
      <w:pPr>
        <w:pStyle w:val="Heading2"/>
        <w:spacing w:after="120" w:before="240"/>
      </w:pPr>
      <w:r>
        <w:rPr>
          <w:b/>
          <w:bCs/>
        </w:rPr>
        <w:t xml:space="preserve">Developments to Know</w:t>
      </w:r>
    </w:p>
    <w:p>
      <w:pPr>
        <w:pStyle w:val="ListParagraph"/>
        <w:numPr>
          <w:ilvl w:val="0"/>
          <w:numId w:val="1"/>
        </w:numPr>
        <w:spacing w:after="80"/>
      </w:pPr>
      <w:r>
        <w:rPr>
          <w:b/>
          <w:bCs/>
        </w:rPr>
        <w:t xml:space="preserve">Supreme Court Code of Conduct.</w:t>
      </w:r>
      <w:r>
        <w:t xml:space="preserve">Adopted November 13, 2023. Recusal provisions track &amp;sect; 455 and the 1993 recusal policy; individual justices decide; no enforcement mechanism.</w:t>
      </w:r>
    </w:p>
    <w:p>
      <w:pPr>
        <w:pStyle w:val="ListParagraph"/>
        <w:numPr>
          <w:ilvl w:val="0"/>
          <w:numId w:val="1"/>
        </w:numPr>
        <w:spacing w:after="80"/>
      </w:pPr>
      <w:r>
        <w:rPr>
          <w:b/>
          <w:bCs/>
        </w:rPr>
        <w:t xml:space="preserve">Disclosure.</w:t>
      </w:r>
      <w:r>
        <w:t xml:space="preserve">The Judicial Conference narrowed the personal-hospitality exemption in March 2023. Justice Thomas filed a June 2024 disclosure adding two 2019 trips. In January 2025, the Judicial Conference declined to refer Justices Thomas or Jackson to the Justice Department.</w:t>
      </w:r>
    </w:p>
    <w:p>
      <w:pPr>
        <w:pStyle w:val="ListParagraph"/>
        <w:numPr>
          <w:ilvl w:val="0"/>
          <w:numId w:val="1"/>
        </w:numPr>
        <w:spacing w:after="80"/>
      </w:pPr>
      <w:r>
        <w:rPr>
          <w:b/>
          <w:bCs/>
        </w:rPr>
        <w:t xml:space="preserve">Recusal disputes.</w:t>
      </w:r>
      <w:r>
        <w:t xml:space="preserve">Justice Alito declined to recuse over flag controversies (May 29, 2024). Justice Gorsuch recused from</w:t>
      </w:r>
      <w:r>
        <w:rPr>
          <w:i/>
          <w:iCs/>
        </w:rPr>
        <w:t xml:space="preserve">Seven County Infrastructure Coalition v. Eagle County</w:t>
      </w:r>
      <w:r>
        <w:t xml:space="preserve">(December 2024). Justice Alito recused from</w:t>
      </w:r>
      <w:r>
        <w:rPr>
          <w:i/>
          <w:iCs/>
        </w:rPr>
        <w:t xml:space="preserve">Chevron USA v. Plaquemines Parish</w:t>
      </w:r>
      <w:r>
        <w:t xml:space="preserve">(January 2026; decided 8&amp;ndash;0 on April 17, 2026) and withdrew from</w:t>
      </w:r>
      <w:r>
        <w:rPr>
          <w:i/>
          <w:iCs/>
        </w:rPr>
        <w:t xml:space="preserve">Suncor Energy v. Boulder County</w:t>
      </w:r>
      <w:r>
        <w:t xml:space="preserve">(September 28, 2026). A July 13, 2026 letter from conservative groups urged Justice Kagan's recusal in</w:t>
      </w:r>
      <w:r>
        <w:rPr>
          <w:i/>
          <w:iCs/>
        </w:rPr>
        <w:t xml:space="preserve">Suncor</w:t>
      </w:r>
      <w:r>
        <w:t xml:space="preserve">; she participated in the October 5, 2026 argument.</w:t>
      </w:r>
    </w:p>
    <w:p>
      <w:pPr>
        <w:pStyle w:val="ListParagraph"/>
        <w:numPr>
          <w:ilvl w:val="0"/>
          <w:numId w:val="1"/>
        </w:numPr>
        <w:spacing w:after="80"/>
      </w:pPr>
      <w:r>
        <w:rPr>
          <w:b/>
          <w:bCs/>
        </w:rPr>
        <w:t xml:space="preserve">Conflict-check software.</w:t>
      </w:r>
      <w:r>
        <w:t xml:space="preserve">The Supreme Court announced automated recusal checks and revised rules, effective March 16, 2026.</w:t>
      </w:r>
    </w:p>
    <w:p>
      <w:pPr>
        <w:pStyle w:val="ListParagraph"/>
        <w:numPr>
          <w:ilvl w:val="0"/>
          <w:numId w:val="1"/>
        </w:numPr>
        <w:spacing w:after="80"/>
      </w:pPr>
      <w:r>
        <w:rPr>
          <w:b/>
          <w:bCs/>
        </w:rPr>
        <w:t xml:space="preserve">Legislation.</w:t>
      </w:r>
      <w:r>
        <w:t xml:space="preserve">The SCERT Act was approved by the Senate Judiciary Committee 11&amp;ndash;10 (July 20, 2023) and reintroduced May 20, 2025 (S. 1814); it has not been enacted. The Courthouse Ethics and Transparency Act (May 13, 2022) is in effect.</w:t>
      </w:r>
    </w:p>
    <w:p>
      <w:pPr>
        <w:pStyle w:val="ListParagraph"/>
        <w:numPr>
          <w:ilvl w:val="0"/>
          <w:numId w:val="1"/>
        </w:numPr>
        <w:spacing w:after="80"/>
      </w:pPr>
      <w:r>
        <w:rPr>
          <w:b/>
          <w:bCs/>
        </w:rPr>
        <w:t xml:space="preserve">Judge Cannon.</w:t>
      </w:r>
      <w:r>
        <w:t xml:space="preserve">The Eleventh Circuit vacated her special master order on December 1, 2022. She dismissed the classified documents indictment on July 15, 2024. The appeal as to Mr. Trump was dismissed November 26, 2024, and the co-defendants' appeal was dropped in January 2025.</w:t>
      </w:r>
    </w:p>
    <w:p>
      <w:pPr>
        <w:pStyle w:val="ListParagraph"/>
        <w:numPr>
          <w:ilvl w:val="0"/>
          <w:numId w:val="1"/>
        </w:numPr>
        <w:spacing w:after="80"/>
      </w:pPr>
      <w:r>
        <w:rPr>
          <w:b/>
          <w:bCs/>
        </w:rPr>
        <w:t xml:space="preserve">State courts.</w:t>
      </w:r>
      <w:r>
        <w:t xml:space="preserve">The April 1, 2025 Wisconsin Supreme Court race exceeded $100 million in spending. On June 4, 2026, the Wisconsin Supreme Court created a committee to study recusal rules rather than adopt a proposed contribution-based standard.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2026-10-07T19:52:16.894Z</dcterms:created>
  <dcterms:modified xsi:type="dcterms:W3CDTF">2026-10-07T19:52:16.894Z</dcterms:modified>
</cp:coreProperties>
</file>

<file path=docProps/custom.xml><?xml version="1.0" encoding="utf-8"?>
<Properties xmlns="http://schemas.openxmlformats.org/officeDocument/2006/custom-properties" xmlns:vt="http://schemas.openxmlformats.org/officeDocument/2006/docPropsVTypes"/>
</file>