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God &amp; Football after Bremerton</w:t>
      </w:r>
    </w:p>
    <w:p>
      <w:pPr>
        <w:spacing w:after="200"/>
      </w:pPr>
      <w:r>
        <w:rPr>
          <w:rFonts w:ascii="Montserrat" w:cs="Montserrat" w:eastAsia="Montserrat" w:hAnsi="Montserrat"/>
          <w:b/>
          <w:bCs/>
          <w:color w:val="E87722"/>
          <w:sz w:val="24"/>
          <w:szCs w:val="24"/>
        </w:rPr>
        <w:t>Sarah Barringer Gordon, Arlin M. Adams Professor of Constitutional Law and Professor of History, Emerita, University of Pennsylvania Carey Law School</w:t>
      </w:r>
    </w:p>
    <w:p>
      <w:pPr>
        <w:pStyle w:val="Heading2"/>
        <w:spacing w:after="120" w:before="240"/>
      </w:pPr>
      <w:r>
        <w:rPr>
          <w:b/>
          <w:bCs/>
        </w:rPr>
        <w:t>Overview</w:t>
      </w:r>
    </w:p>
    <w:p>
      <w:pPr>
        <w:spacing w:after="160"/>
      </w:pPr>
      <w:r>
        <w:t>This program examines Kennedy v. Bremerton School District (2022), in which the Supreme Court held that a public high school football coach's post-game prayer at midfield was protected by the Free Exercise and Free Speech Clauses, and in doing so announced that courts should interpret the Establishment Clause by reference to historical practices and understandings rather than the test of Lemon v. Kurtzman. Professor Sarah Barringer Gordon, a historian of religion and American law, explains the disputed facts, the majority and dissenting opinions, the shift from the Lemon and endorsement tests to a history-and-tradition approach with coercion as a central concern, and the long history of religion in public schools, including school prayer, graduation prayer, prayer at high school football games, teachers' religious dress, and public funding of religious education. Updates cover Coach Kennedy's reinstatement and resignation, Groff v. DeJoy, Mahmoud v. Taylor, Catholic Charities Bureau v. Wisconsin, the equally divided decision on Oklahoma's religious charter school, and the 2026 Fifth Circuit decisions on Louisiana's and Texas's Ten Commandments laws.</w:t>
      </w:r>
    </w:p>
    <w:p>
      <w:pPr>
        <w:pStyle w:val="Heading2"/>
        <w:spacing w:after="120" w:before="240"/>
      </w:pPr>
      <w:r>
        <w:rPr>
          <w:b/>
          <w:bCs/>
        </w:rPr>
        <w:t>Learning Objectives</w:t>
      </w:r>
    </w:p>
    <w:p>
      <w:pPr>
        <w:pStyle w:val="ListParagraph"/>
        <w:numPr>
          <w:ilvl w:val="0"/>
          <w:numId w:val="1"/>
        </w:numPr>
        <w:spacing w:after="80"/>
      </w:pPr>
      <w:r>
        <w:t>Explain the facts and holding of Kennedy v. Bremerton School District and the competing characterizations of the coach's prayer in the majority and dissenting opinions.</w:t>
      </w:r>
    </w:p>
    <w:p>
      <w:pPr>
        <w:pStyle w:val="ListParagraph"/>
        <w:numPr>
          <w:ilvl w:val="0"/>
          <w:numId w:val="1"/>
        </w:numPr>
        <w:spacing w:after="80"/>
      </w:pPr>
      <w:r>
        <w:t>Describe the Establishment Clause tests the Court has used, including Lemon v. Kurtzman and the endorsement test, and the history-and-tradition approach with coercion as a central concern that Kennedy adopted.</w:t>
      </w:r>
    </w:p>
    <w:p>
      <w:pPr>
        <w:pStyle w:val="ListParagraph"/>
        <w:numPr>
          <w:ilvl w:val="0"/>
          <w:numId w:val="1"/>
        </w:numPr>
        <w:spacing w:after="80"/>
      </w:pPr>
      <w:r>
        <w:t>Identify the Supreme Court's major decisions on religion in public schools, including school prayer, graduation prayer (Lee v. Weisman), and student-led prayer at football games (Santa Fe Independent School District v. Doe), and assess how they fare under the Kennedy framework.</w:t>
      </w:r>
    </w:p>
    <w:p>
      <w:pPr>
        <w:pStyle w:val="ListParagraph"/>
        <w:numPr>
          <w:ilvl w:val="0"/>
          <w:numId w:val="1"/>
        </w:numPr>
        <w:spacing w:after="80"/>
      </w:pPr>
      <w:r>
        <w:t>Analyze the interaction among the Free Exercise, Free Speech, and Establishment Clauses in cases involving government employees, public funding of religious education, and government speech.</w:t>
      </w:r>
    </w:p>
    <w:p>
      <w:pPr>
        <w:pStyle w:val="ListParagraph"/>
        <w:numPr>
          <w:ilvl w:val="0"/>
          <w:numId w:val="1"/>
        </w:numPr>
        <w:spacing w:after="80"/>
      </w:pPr>
      <w:r>
        <w:t>Apply post-2022 developments, including Groff v. DeJoy, Mahmoud v. Taylor, and the Ten Commandments litigation, when advising schools, public employers, and religious clients.</w:t>
      </w:r>
    </w:p>
    <w:p>
      <w:pPr>
        <w:pStyle w:val="Heading2"/>
        <w:spacing w:after="120" w:before="240"/>
      </w:pPr>
      <w:r>
        <w:rPr>
          <w:b/>
          <w:bCs/>
        </w:rPr>
        <w:t>Kennedy v. Bremerton School District</w:t>
      </w:r>
    </w:p>
    <w:p>
      <w:pPr>
        <w:pStyle w:val="ListParagraph"/>
        <w:numPr>
          <w:ilvl w:val="0"/>
          <w:numId w:val="1"/>
        </w:numPr>
        <w:spacing w:after="80"/>
      </w:pPr>
      <w:r>
        <w:t>Joseph Kennedy, an assistant football coach at Bremerton High School in Washington, prayed at midfield after games. After the school district directed him to stop praying in a manner that could appear to be school-sponsored, he continued, and the district placed him on leave and did not rehire him. Kennedy v. Bremerton Sch. Dist., 597 U.S. 507 (2022).</w:t>
      </w:r>
    </w:p>
    <w:p>
      <w:pPr>
        <w:pStyle w:val="ListParagraph"/>
        <w:numPr>
          <w:ilvl w:val="0"/>
          <w:numId w:val="1"/>
        </w:numPr>
        <w:spacing w:after="80"/>
      </w:pPr>
      <w:r>
        <w:t>The Court (6–3, Gorsuch, J.) held that the district violated Kennedy's rights under the Free Exercise and Free Speech Clauses. The majority characterized the prayer as a brief, quiet, personal religious observance made when coaches were free to attend to personal matters, and concluded that it was private speech, not government speech.</w:t>
      </w:r>
    </w:p>
    <w:p>
      <w:pPr>
        <w:pStyle w:val="ListParagraph"/>
        <w:numPr>
          <w:ilvl w:val="0"/>
          <w:numId w:val="1"/>
        </w:numPr>
        <w:spacing w:after="80"/>
      </w:pPr>
      <w:r>
        <w:t>The dissent (Sotomayor, J., joined by Breyer and Kagan, JJ.) emphasized Kennedy's history of praying with players, the public nature of the midfield prayers (including a photograph reproduced in the dissent), and the coercive pressure students may feel to join a coach who controls playing time.</w:t>
      </w:r>
    </w:p>
    <w:p>
      <w:pPr>
        <w:pStyle w:val="ListParagraph"/>
        <w:numPr>
          <w:ilvl w:val="0"/>
          <w:numId w:val="1"/>
        </w:numPr>
        <w:spacing w:after="80"/>
      </w:pPr>
      <w:r>
        <w:t>The parties disputed key facts, including whether the prayers were private and whether students felt pressure to participate. The case thus illustrates how framing of the facts can determine the constitutional outcome.</w:t>
      </w:r>
    </w:p>
    <w:p>
      <w:pPr>
        <w:pStyle w:val="Heading2"/>
        <w:spacing w:after="120" w:before="240"/>
      </w:pPr>
      <w:r>
        <w:rPr>
          <w:b/>
          <w:bCs/>
        </w:rPr>
        <w:t>From Lemon to History and Tradition</w:t>
      </w:r>
    </w:p>
    <w:p>
      <w:pPr>
        <w:pStyle w:val="ListParagraph"/>
        <w:numPr>
          <w:ilvl w:val="0"/>
          <w:numId w:val="1"/>
        </w:numPr>
        <w:spacing w:after="80"/>
      </w:pPr>
      <w:r>
        <w:t>Under Lemon v. Kurtzman, 403 U.S. 602 (1971), a law or practice had to have a secular purpose, a primary effect that neither advanced nor inhibited religion, and no excessive government entanglement with religion. Later cases added an inquiry into whether government action would appear to a reasonable observer to endorse religion. See County of Allegheny v. ACLU, 492 U.S. 573 (1989).</w:t>
      </w:r>
    </w:p>
    <w:p>
      <w:pPr>
        <w:pStyle w:val="ListParagraph"/>
        <w:numPr>
          <w:ilvl w:val="0"/>
          <w:numId w:val="1"/>
        </w:numPr>
        <w:spacing w:after="80"/>
      </w:pPr>
      <w:r>
        <w:t>Kennedy stated that the Court had "long ago abandoned Lemon and its endorsement test offshoot" and held that the Establishment Clause must be interpreted by "reference to historical practices and understandings." Kennedy, 597 U.S. 507 (quoting Town of Greece v. Galloway, 572 U.S. 565, 576 (2014)). Lemon was not formally overruled, but lower courts now treat it as abandoned.</w:t>
      </w:r>
    </w:p>
    <w:p>
      <w:pPr>
        <w:pStyle w:val="ListParagraph"/>
        <w:numPr>
          <w:ilvl w:val="0"/>
          <w:numId w:val="1"/>
        </w:numPr>
        <w:spacing w:after="80"/>
      </w:pPr>
      <w:r>
        <w:t>Coercion remains a central Establishment Clause concern after Kennedy. Government may not coerce anyone to support or participate in religion or its exercise. See Lee v. Weisman, 505 U.S. 577 (1992) (prayer at a middle school graduation ceremony unconstitutional because of subtle and indirect coercion of students).</w:t>
      </w:r>
    </w:p>
    <w:p>
      <w:pPr>
        <w:pStyle w:val="ListParagraph"/>
        <w:numPr>
          <w:ilvl w:val="0"/>
          <w:numId w:val="1"/>
        </w:numPr>
        <w:spacing w:after="80"/>
      </w:pPr>
      <w:r>
        <w:t>Professor Gordon notes the practical challenges of a history-based test, including asking judges to act as historians and to determine how founding-era understandings apply to modern institutions such as public schools, which did not exist in their present form in 1791.</w:t>
      </w:r>
    </w:p>
    <w:p>
      <w:pPr>
        <w:pStyle w:val="Heading2"/>
        <w:spacing w:after="120" w:before="240"/>
      </w:pPr>
      <w:r>
        <w:rPr>
          <w:b/>
          <w:bCs/>
        </w:rPr>
        <w:t>Religion in the Public Schools</w:t>
      </w:r>
    </w:p>
    <w:p>
      <w:pPr>
        <w:pStyle w:val="ListParagraph"/>
        <w:numPr>
          <w:ilvl w:val="0"/>
          <w:numId w:val="1"/>
        </w:numPr>
        <w:spacing w:after="80"/>
      </w:pPr>
      <w:r>
        <w:t>School prayer and Bible reading. The Court held state-sponsored prayer and devotional Bible reading in public schools unconstitutional. Engel v. Vitale, 370 U.S. 421 (1962); School Dist. of Abington Twp. v. Schempp, 374 U.S. 203 (1963).</w:t>
      </w:r>
    </w:p>
    <w:p>
      <w:pPr>
        <w:pStyle w:val="ListParagraph"/>
        <w:numPr>
          <w:ilvl w:val="0"/>
          <w:numId w:val="1"/>
        </w:numPr>
        <w:spacing w:after="80"/>
      </w:pPr>
      <w:r>
        <w:t>Football and prayer. In Santa Fe Independent School District v. Doe, 530 U.S. 290 (2000), the Court held unconstitutional a Texas school district's policy of student-led, student-initiated prayer over the public address system before high school football games.</w:t>
      </w:r>
    </w:p>
    <w:p>
      <w:pPr>
        <w:pStyle w:val="ListParagraph"/>
        <w:numPr>
          <w:ilvl w:val="0"/>
          <w:numId w:val="1"/>
        </w:numPr>
        <w:spacing w:after="80"/>
      </w:pPr>
      <w:r>
        <w:t>Student speech. Tinker v. Des Moines Independent Community School District, 393 U.S. 503 (1969), protects student expression that does not materially and substantially disrupt school activities; the parties in Kennedy debated its relevance to school employees.</w:t>
      </w:r>
    </w:p>
    <w:p>
      <w:pPr>
        <w:pStyle w:val="ListParagraph"/>
        <w:numPr>
          <w:ilvl w:val="0"/>
          <w:numId w:val="1"/>
        </w:numPr>
        <w:spacing w:after="80"/>
      </w:pPr>
      <w:r>
        <w:t>Teachers' religious dress. Some states historically barred public school teachers from wearing religious garb. Pennsylvania's ban has since been repealed.</w:t>
      </w:r>
    </w:p>
    <w:p>
      <w:pPr>
        <w:pStyle w:val="ListParagraph"/>
        <w:numPr>
          <w:ilvl w:val="0"/>
          <w:numId w:val="1"/>
        </w:numPr>
        <w:spacing w:after="80"/>
      </w:pPr>
      <w:r>
        <w:t>Government speech. In Shurtleff v. City of Boston, 596 U.S. 243 (2022), the Court held that Boston's flag-raising program, which it had opened to private groups, was not government speech, so the city's refusal to fly a Christian flag requested by Harold Shurtleff of Camp Constitution for a Constitution Day event was viewpoint discrimination.</w:t>
      </w:r>
    </w:p>
    <w:p>
      <w:pPr>
        <w:pStyle w:val="Heading2"/>
        <w:spacing w:after="120" w:before="240"/>
      </w:pPr>
      <w:r>
        <w:rPr>
          <w:b/>
          <w:bCs/>
        </w:rPr>
        <w:t>Public Funding and Religious Schools</w:t>
      </w:r>
    </w:p>
    <w:p>
      <w:pPr>
        <w:pStyle w:val="ListParagraph"/>
        <w:numPr>
          <w:ilvl w:val="0"/>
          <w:numId w:val="1"/>
        </w:numPr>
        <w:spacing w:after="80"/>
      </w:pPr>
      <w:r>
        <w:t>Locke v. Davey, 540 U.S. 712 (2004), upheld Washington's exclusion of devotional theology students from a state scholarship program, recognizing "play in the joints" between the Religion Clauses.</w:t>
      </w:r>
    </w:p>
    <w:p>
      <w:pPr>
        <w:pStyle w:val="ListParagraph"/>
        <w:numPr>
          <w:ilvl w:val="0"/>
          <w:numId w:val="1"/>
        </w:numPr>
        <w:spacing w:after="80"/>
      </w:pPr>
      <w:r>
        <w:t>Later decisions held that states may not exclude religious organizations or schools from generally available public benefits because of their religious character or religious use of funds. Trinity Lutheran Church of Columbia, Inc. v. Comer, 582 U.S. 449 (2017); Espinoza v. Montana Dep't of Revenue, 591 U.S. 464 (2020); Carson v. Makin, 596 U.S. 767 (2022).</w:t>
      </w:r>
    </w:p>
    <w:p>
      <w:pPr>
        <w:pStyle w:val="Heading2"/>
        <w:spacing w:after="120" w:before="240"/>
      </w:pPr>
      <w:r>
        <w:rPr>
          <w:b/>
          <w:bCs/>
        </w:rPr>
        <w:t>Developments to Know</w:t>
      </w:r>
    </w:p>
    <w:p>
      <w:pPr>
        <w:pStyle w:val="ListParagraph"/>
        <w:numPr>
          <w:ilvl w:val="0"/>
          <w:numId w:val="1"/>
        </w:numPr>
        <w:spacing w:after="80"/>
      </w:pPr>
      <w:r>
        <w:t>Coach Kennedy. After the decision, Joseph Kennedy was reinstated, coached one game in fall 2023, and then resigned, citing a family illness and what he described as retaliation.</w:t>
      </w:r>
    </w:p>
    <w:p>
      <w:pPr>
        <w:pStyle w:val="ListParagraph"/>
        <w:numPr>
          <w:ilvl w:val="0"/>
          <w:numId w:val="1"/>
        </w:numPr>
        <w:spacing w:after="80"/>
      </w:pPr>
      <w:r>
        <w:t>Groff v. DeJoy, 600 U.S. 447 (2023). The Court unanimously held that under Title VII an employer that denies a religious accommodation must show that the burden would result in substantial increased costs in relation to the conduct of its business, rejecting the "more than a de minimis cost" reading of Trans World Airlines v. Hardison.</w:t>
      </w:r>
    </w:p>
    <w:p>
      <w:pPr>
        <w:pStyle w:val="ListParagraph"/>
        <w:numPr>
          <w:ilvl w:val="0"/>
          <w:numId w:val="1"/>
        </w:numPr>
        <w:spacing w:after="80"/>
      </w:pPr>
      <w:r>
        <w:t>Mahmoud v. Taylor (2025). The Court held 6–3 that parents are entitled to a preliminary injunction allowing them to opt their children out of public school instruction using LGBTQ-themed storybooks, because the policy substantially burdened their religious exercise.</w:t>
      </w:r>
    </w:p>
    <w:p>
      <w:pPr>
        <w:pStyle w:val="ListParagraph"/>
        <w:numPr>
          <w:ilvl w:val="0"/>
          <w:numId w:val="1"/>
        </w:numPr>
        <w:spacing w:after="80"/>
      </w:pPr>
      <w:r>
        <w:t>Catholic Charities Bureau, Inc. v. Wisconsin Labor &amp; Industry Review Commission (2025). The Court unanimously held that Wisconsin violated the First Amendment by denying a Catholic charity an unemployment-tax exemption on the ground that it did not proselytize or serve only Catholics.</w:t>
      </w:r>
    </w:p>
    <w:p>
      <w:pPr>
        <w:pStyle w:val="ListParagraph"/>
        <w:numPr>
          <w:ilvl w:val="0"/>
          <w:numId w:val="1"/>
        </w:numPr>
        <w:spacing w:after="80"/>
      </w:pPr>
      <w:r>
        <w:t>Oklahoma Statewide Charter School Board v. Drummond (2025). An equally divided Court (4–4, Justice Barrett recused) affirmed the Oklahoma Supreme Court's ruling that the state could not sponsor a religious public charter school. The affirmance sets no national precedent.</w:t>
      </w:r>
    </w:p>
    <w:p>
      <w:pPr>
        <w:pStyle w:val="ListParagraph"/>
        <w:numPr>
          <w:ilvl w:val="0"/>
          <w:numId w:val="1"/>
        </w:numPr>
        <w:spacing w:after="80"/>
      </w:pPr>
      <w:r>
        <w:t>Ten Commandments laws. Louisiana (2024) and Texas (2025) require public school classrooms to display the Ten Commandments. In 2026 the en banc Fifth Circuit allowed both laws to take effect. In Roake v. Brumley (Feb. 2026) it held the Louisiana challenge premature and vacated the preliminary injunction without reaching the merits. In Nathan v. Alamo Heights ISD (Apr. 2026) it upheld the Texas law, reasoning that because Kennedy confirmed the Court's abandonment of Lemon, little remains of Stone v. Graham, 449 U.S. 39 (1980), which had struck down a similar Kentucky law. Petitions for certiorari in both cases are pending.</w:t>
      </w:r>
    </w:p>
    <w:p>
      <w:pPr>
        <w:pStyle w:val="ListParagraph"/>
        <w:numPr>
          <w:ilvl w:val="0"/>
          <w:numId w:val="1"/>
        </w:numPr>
        <w:spacing w:after="80"/>
      </w:pPr>
      <w:r>
        <w:t>Pending in the October 2026 Term. St. Mary Catholic Parish v. Roy, No. 25-581, a Catholic preschool's challenge to Colorado's universal pre-K nondiscrimination requirements, is set for argument on November 3, 2026, and a pending petition (Hall v. Fleming, No. 26-193) asks the Court to overrule Locke v. Davey.</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